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sz w:val="21"/>
          <w:szCs w:val="21"/>
        </w:rPr>
      </w:pPr>
      <w:r>
        <w:rPr>
          <w:rFonts w:hint="eastAsia" w:ascii="方正小标宋_GBK" w:hAnsi="方正小标宋_GBK" w:eastAsia="方正小标宋_GBK" w:cs="方正小标宋_GBK"/>
          <w:color w:val="000000"/>
          <w:sz w:val="44"/>
          <w:szCs w:val="44"/>
        </w:rPr>
        <w:t>附件</w:t>
      </w:r>
      <w:r>
        <w:rPr>
          <w:rFonts w:hint="eastAsia" w:ascii="方正小标宋_GBK" w:hAnsi="方正小标宋_GBK" w:eastAsia="方正小标宋_GBK" w:cs="方正小标宋_GBK"/>
          <w:color w:val="000000"/>
          <w:sz w:val="44"/>
          <w:szCs w:val="44"/>
          <w:lang w:val="en-US" w:eastAsia="zh-CN"/>
        </w:rPr>
        <w:t>1</w:t>
      </w:r>
      <w:r>
        <w:rPr>
          <w:rFonts w:hint="eastAsia" w:ascii="方正小标宋_GBK" w:hAnsi="方正小标宋_GBK" w:eastAsia="方正小标宋_GBK" w:cs="方正小标宋_GBK"/>
          <w:color w:val="000000"/>
          <w:sz w:val="44"/>
          <w:szCs w:val="44"/>
        </w:rPr>
        <w:t>：云桌面电脑系统服务器专用固态硬盘</w:t>
      </w:r>
      <w:r>
        <w:rPr>
          <w:rFonts w:hint="eastAsia" w:ascii="方正小标宋_GBK" w:hAnsi="方正小标宋_GBK" w:eastAsia="方正小标宋_GBK" w:cs="方正小标宋_GBK"/>
          <w:color w:val="000000"/>
          <w:sz w:val="44"/>
          <w:szCs w:val="44"/>
          <w:lang w:val="en-US" w:eastAsia="zh-CN"/>
        </w:rPr>
        <w:t>采购</w:t>
      </w:r>
      <w:r>
        <w:rPr>
          <w:rFonts w:hint="eastAsia" w:ascii="方正小标宋_GBK" w:hAnsi="方正小标宋_GBK" w:eastAsia="方正小标宋_GBK" w:cs="方正小标宋_GBK"/>
          <w:color w:val="000000"/>
          <w:sz w:val="44"/>
          <w:szCs w:val="44"/>
        </w:rPr>
        <w:t>要求</w:t>
      </w:r>
    </w:p>
    <w:p>
      <w:pPr>
        <w:pStyle w:val="2"/>
        <w:numPr>
          <w:ilvl w:val="0"/>
          <w:numId w:val="1"/>
        </w:numP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技术需求</w:t>
      </w:r>
    </w:p>
    <w:tbl>
      <w:tblPr>
        <w:tblStyle w:val="10"/>
        <w:tblW w:w="8248" w:type="dxa"/>
        <w:jc w:val="center"/>
        <w:tblLayout w:type="autofit"/>
        <w:tblCellMar>
          <w:top w:w="0" w:type="dxa"/>
          <w:left w:w="108" w:type="dxa"/>
          <w:bottom w:w="0" w:type="dxa"/>
          <w:right w:w="108" w:type="dxa"/>
        </w:tblCellMar>
      </w:tblPr>
      <w:tblGrid>
        <w:gridCol w:w="498"/>
        <w:gridCol w:w="498"/>
        <w:gridCol w:w="499"/>
        <w:gridCol w:w="498"/>
        <w:gridCol w:w="6255"/>
      </w:tblGrid>
      <w:tr>
        <w:trPr>
          <w:trHeight w:val="1253"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项号</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设备名称</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数量</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单位</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技术参数及规格、性能指标要求等</w:t>
            </w:r>
          </w:p>
        </w:tc>
      </w:tr>
      <w:tr>
        <w:tblPrEx>
          <w:tblCellMar>
            <w:top w:w="0" w:type="dxa"/>
            <w:left w:w="108" w:type="dxa"/>
            <w:bottom w:w="0" w:type="dxa"/>
            <w:right w:w="108" w:type="dxa"/>
          </w:tblCellMar>
        </w:tblPrEx>
        <w:trPr>
          <w:trHeight w:val="632" w:hRule="atLeast"/>
          <w:jc w:val="center"/>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服务器</w:t>
            </w:r>
            <w:r>
              <w:rPr>
                <w:rFonts w:hint="eastAsia" w:ascii="仿宋_GB2312" w:hAnsi="仿宋_GB2312" w:eastAsia="仿宋_GB2312" w:cs="仿宋_GB2312"/>
                <w:b/>
                <w:bCs/>
                <w:color w:val="000000"/>
                <w:sz w:val="28"/>
                <w:szCs w:val="28"/>
                <w:lang w:val="en-US" w:eastAsia="zh-CN"/>
              </w:rPr>
              <w:t>专用固态</w:t>
            </w:r>
            <w:r>
              <w:rPr>
                <w:rFonts w:hint="eastAsia" w:ascii="仿宋_GB2312" w:hAnsi="仿宋_GB2312" w:eastAsia="仿宋_GB2312" w:cs="仿宋_GB2312"/>
                <w:b/>
                <w:bCs/>
                <w:color w:val="000000"/>
                <w:sz w:val="28"/>
                <w:szCs w:val="28"/>
              </w:rPr>
              <w:t>硬盘</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22</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个</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kern w:val="0"/>
                <w:sz w:val="28"/>
                <w:szCs w:val="28"/>
                <w:lang w:bidi="ar"/>
              </w:rPr>
              <w:t>★</w:t>
            </w:r>
            <w:r>
              <w:rPr>
                <w:rFonts w:hint="eastAsia" w:ascii="仿宋_GB2312" w:hAnsi="仿宋_GB2312" w:eastAsia="仿宋_GB2312" w:cs="仿宋_GB2312"/>
                <w:sz w:val="28"/>
                <w:szCs w:val="28"/>
              </w:rPr>
              <w:t>1、性能参数：</w:t>
            </w:r>
            <w:r>
              <w:rPr>
                <w:rFonts w:hint="eastAsia" w:ascii="仿宋_GB2312" w:hAnsi="仿宋_GB2312" w:eastAsia="仿宋_GB2312" w:cs="仿宋_GB2312"/>
                <w:sz w:val="28"/>
                <w:szCs w:val="28"/>
                <w:lang w:val="en-US" w:eastAsia="zh-CN"/>
              </w:rPr>
              <w:t>硬盘类型：</w:t>
            </w:r>
            <w:r>
              <w:rPr>
                <w:rFonts w:hint="eastAsia" w:ascii="仿宋_GB2312" w:hAnsi="仿宋_GB2312" w:eastAsia="仿宋_GB2312" w:cs="仿宋_GB2312"/>
                <w:sz w:val="28"/>
                <w:szCs w:val="28"/>
              </w:rPr>
              <w:t>固态硬盘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数据</w:t>
            </w:r>
            <w:r>
              <w:rPr>
                <w:rFonts w:hint="eastAsia" w:ascii="仿宋_GB2312" w:hAnsi="仿宋_GB2312" w:eastAsia="仿宋_GB2312" w:cs="仿宋_GB2312"/>
                <w:sz w:val="28"/>
                <w:szCs w:val="28"/>
              </w:rPr>
              <w:t>容量：1.92T</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，接口类型：SATA，读写类型：读密集型，尺寸：2.5寸，接口速率：6Gb/s，平均故障间隔时间：2 million hours，顺序读取（最高）：550Mb/s</w:t>
            </w:r>
            <w:r>
              <w:rPr>
                <w:rFonts w:hint="eastAsia" w:ascii="仿宋_GB2312" w:hAnsi="仿宋_GB2312" w:eastAsia="仿宋_GB2312" w:cs="仿宋_GB2312"/>
                <w:sz w:val="28"/>
                <w:szCs w:val="28"/>
                <w:lang w:eastAsia="zh-CN"/>
              </w:rPr>
              <w:t>。</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kern w:val="0"/>
                <w:sz w:val="28"/>
                <w:szCs w:val="28"/>
                <w:lang w:bidi="ar"/>
              </w:rPr>
              <w:t>★</w:t>
            </w:r>
            <w:r>
              <w:rPr>
                <w:rFonts w:hint="eastAsia" w:ascii="仿宋_GB2312" w:hAnsi="仿宋_GB2312" w:eastAsia="仿宋_GB2312" w:cs="仿宋_GB2312"/>
                <w:sz w:val="28"/>
                <w:szCs w:val="28"/>
              </w:rPr>
              <w:t>2、软件升级(*3年)</w:t>
            </w:r>
            <w:r>
              <w:rPr>
                <w:rFonts w:hint="eastAsia" w:ascii="仿宋_GB2312" w:hAnsi="仿宋_GB2312" w:eastAsia="仿宋_GB2312" w:cs="仿宋_GB2312"/>
                <w:sz w:val="28"/>
                <w:szCs w:val="28"/>
                <w:lang w:eastAsia="zh-CN"/>
              </w:rPr>
              <w:t>。</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kern w:val="0"/>
                <w:sz w:val="28"/>
                <w:szCs w:val="28"/>
                <w:lang w:bidi="ar"/>
              </w:rPr>
              <w:t>★</w:t>
            </w:r>
            <w:r>
              <w:rPr>
                <w:rFonts w:hint="eastAsia" w:ascii="仿宋_GB2312" w:hAnsi="仿宋_GB2312" w:eastAsia="仿宋_GB2312" w:cs="仿宋_GB2312"/>
                <w:sz w:val="28"/>
                <w:szCs w:val="28"/>
              </w:rPr>
              <w:t>3、适用于深信服VDS-R-7550服务器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需深信服厂家出具相关授权</w:t>
            </w:r>
            <w:r>
              <w:rPr>
                <w:rFonts w:hint="eastAsia" w:ascii="仿宋_GB2312" w:hAnsi="仿宋_GB2312" w:eastAsia="仿宋_GB2312" w:cs="仿宋_GB2312"/>
                <w:sz w:val="28"/>
                <w:szCs w:val="28"/>
                <w:lang w:val="en-US" w:eastAsia="zh-CN"/>
              </w:rPr>
              <w:t>或证明</w:t>
            </w:r>
            <w:r>
              <w:rPr>
                <w:rFonts w:hint="eastAsia" w:ascii="仿宋_GB2312" w:hAnsi="仿宋_GB2312" w:eastAsia="仿宋_GB2312" w:cs="仿宋_GB2312"/>
                <w:sz w:val="28"/>
                <w:szCs w:val="28"/>
              </w:rPr>
              <w:t>，确保所供硬盘适配</w:t>
            </w:r>
            <w:r>
              <w:rPr>
                <w:rFonts w:hint="eastAsia" w:ascii="仿宋_GB2312" w:hAnsi="仿宋_GB2312" w:eastAsia="仿宋_GB2312" w:cs="仿宋_GB2312"/>
                <w:sz w:val="28"/>
                <w:szCs w:val="28"/>
                <w:lang w:eastAsia="zh-CN"/>
              </w:rPr>
              <w:t>。</w:t>
            </w:r>
          </w:p>
          <w:p>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lang w:bidi="ar"/>
              </w:rPr>
              <w:t>★</w:t>
            </w:r>
            <w:r>
              <w:rPr>
                <w:rFonts w:hint="eastAsia" w:ascii="仿宋_GB2312" w:hAnsi="仿宋_GB2312" w:eastAsia="仿宋_GB2312" w:cs="仿宋_GB2312"/>
                <w:sz w:val="28"/>
                <w:szCs w:val="28"/>
              </w:rPr>
              <w:t>4、系统集成：包含老硬件的拆除，新硬盘的安装调试，提供对应的技术支持服务，存储阵列配置，</w:t>
            </w:r>
            <w:r>
              <w:rPr>
                <w:rFonts w:hint="eastAsia" w:ascii="仿宋_GB2312" w:hAnsi="仿宋_GB2312" w:eastAsia="仿宋_GB2312" w:cs="仿宋_GB2312"/>
                <w:sz w:val="28"/>
                <w:szCs w:val="28"/>
                <w:lang w:val="en-US" w:eastAsia="zh-CN"/>
              </w:rPr>
              <w:t>云桌面电脑系统</w:t>
            </w:r>
            <w:r>
              <w:rPr>
                <w:rFonts w:hint="eastAsia" w:ascii="仿宋_GB2312" w:hAnsi="仿宋_GB2312" w:eastAsia="仿宋_GB2312" w:cs="仿宋_GB2312"/>
                <w:sz w:val="28"/>
                <w:szCs w:val="28"/>
              </w:rPr>
              <w:t>支持。</w:t>
            </w:r>
          </w:p>
        </w:tc>
      </w:tr>
      <w:tr>
        <w:tblPrEx>
          <w:tblCellMar>
            <w:top w:w="0" w:type="dxa"/>
            <w:left w:w="108" w:type="dxa"/>
            <w:bottom w:w="0" w:type="dxa"/>
            <w:right w:w="108" w:type="dxa"/>
          </w:tblCellMar>
        </w:tblPrEx>
        <w:trPr>
          <w:trHeight w:val="2251" w:hRule="atLeast"/>
          <w:jc w:val="center"/>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sz w:val="28"/>
                <w:szCs w:val="28"/>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sz w:val="28"/>
                <w:szCs w:val="28"/>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sz w:val="28"/>
                <w:szCs w:val="28"/>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sz w:val="28"/>
                <w:szCs w:val="28"/>
              </w:rPr>
            </w:pP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w:t>
            </w:r>
            <w:r>
              <w:rPr>
                <w:rFonts w:hint="eastAsia" w:ascii="仿宋_GB2312" w:hAnsi="仿宋_GB2312" w:eastAsia="仿宋_GB2312" w:cs="仿宋_GB2312"/>
                <w:b w:val="0"/>
                <w:bCs w:val="0"/>
                <w:color w:val="000000"/>
                <w:kern w:val="0"/>
                <w:sz w:val="28"/>
                <w:szCs w:val="28"/>
                <w:lang w:bidi="ar"/>
              </w:rPr>
              <w:t>为防止虚假应标：成交供应商提供的硬件设备及软件的技术参数、配置和性能指标必须为真实有效，项目中标结果公示期间，若有异议，招标方有权要求拟中标方提供所投产品以供测试；若测试达不到应答指标，以虚假应标论处。如有提供虚假材料谋取中标的，按</w:t>
            </w:r>
            <w:bookmarkStart w:id="8" w:name="_GoBack"/>
            <w:bookmarkEnd w:id="8"/>
            <w:r>
              <w:rPr>
                <w:rFonts w:hint="eastAsia" w:ascii="仿宋_GB2312" w:hAnsi="仿宋_GB2312" w:eastAsia="仿宋_GB2312" w:cs="仿宋_GB2312"/>
                <w:b w:val="0"/>
                <w:bCs w:val="0"/>
                <w:color w:val="000000"/>
                <w:kern w:val="0"/>
                <w:sz w:val="28"/>
                <w:szCs w:val="28"/>
                <w:lang w:bidi="ar"/>
              </w:rPr>
              <w:t>政府采购相关法规处罚，并追究其相应的法律责任。</w:t>
            </w:r>
          </w:p>
        </w:tc>
      </w:tr>
      <w:tr>
        <w:tblPrEx>
          <w:tblCellMar>
            <w:top w:w="0" w:type="dxa"/>
            <w:left w:w="108" w:type="dxa"/>
            <w:bottom w:w="0" w:type="dxa"/>
            <w:right w:w="108" w:type="dxa"/>
          </w:tblCellMar>
        </w:tblPrEx>
        <w:trPr>
          <w:trHeight w:val="636" w:hRule="atLeast"/>
          <w:jc w:val="center"/>
        </w:trPr>
        <w:tc>
          <w:tcPr>
            <w:tcW w:w="82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注意：</w:t>
            </w:r>
            <w:r>
              <w:rPr>
                <w:rFonts w:hint="eastAsia" w:ascii="仿宋_GB2312" w:hAnsi="仿宋_GB2312" w:eastAsia="仿宋_GB2312" w:cs="仿宋_GB2312"/>
                <w:b w:val="0"/>
                <w:bCs w:val="0"/>
                <w:color w:val="000000"/>
                <w:kern w:val="0"/>
                <w:sz w:val="28"/>
                <w:szCs w:val="28"/>
                <w:lang w:bidi="ar"/>
              </w:rPr>
              <w:t>打★号</w:t>
            </w:r>
            <w:r>
              <w:rPr>
                <w:rFonts w:hint="eastAsia" w:ascii="仿宋_GB2312" w:hAnsi="仿宋_GB2312" w:eastAsia="仿宋_GB2312" w:cs="仿宋_GB2312"/>
                <w:b w:val="0"/>
                <w:bCs w:val="0"/>
                <w:color w:val="000000"/>
                <w:kern w:val="0"/>
                <w:sz w:val="28"/>
                <w:szCs w:val="28"/>
                <w:lang w:val="en-US" w:eastAsia="zh-CN" w:bidi="ar"/>
              </w:rPr>
              <w:t>为核心参数，</w:t>
            </w:r>
            <w:r>
              <w:rPr>
                <w:rFonts w:hint="eastAsia" w:ascii="仿宋_GB2312" w:hAnsi="仿宋_GB2312" w:eastAsia="仿宋_GB2312" w:cs="仿宋_GB2312"/>
                <w:b w:val="0"/>
                <w:bCs w:val="0"/>
                <w:color w:val="000000"/>
                <w:kern w:val="0"/>
                <w:sz w:val="28"/>
                <w:szCs w:val="28"/>
                <w:lang w:bidi="ar"/>
              </w:rPr>
              <w:t>要求均</w:t>
            </w:r>
            <w:r>
              <w:rPr>
                <w:rFonts w:hint="eastAsia" w:ascii="仿宋_GB2312" w:hAnsi="仿宋_GB2312" w:eastAsia="仿宋_GB2312" w:cs="仿宋_GB2312"/>
                <w:b w:val="0"/>
                <w:bCs w:val="0"/>
                <w:color w:val="000000"/>
                <w:kern w:val="0"/>
                <w:sz w:val="28"/>
                <w:szCs w:val="28"/>
                <w:lang w:val="en-US" w:eastAsia="zh-CN" w:bidi="ar"/>
              </w:rPr>
              <w:t>需</w:t>
            </w:r>
            <w:r>
              <w:rPr>
                <w:rFonts w:hint="eastAsia" w:ascii="仿宋_GB2312" w:hAnsi="仿宋_GB2312" w:eastAsia="仿宋_GB2312" w:cs="仿宋_GB2312"/>
                <w:b w:val="0"/>
                <w:bCs w:val="0"/>
                <w:color w:val="000000"/>
                <w:kern w:val="0"/>
                <w:sz w:val="28"/>
                <w:szCs w:val="28"/>
                <w:lang w:bidi="ar"/>
              </w:rPr>
              <w:t>满足</w:t>
            </w:r>
          </w:p>
        </w:tc>
      </w:tr>
    </w:tbl>
    <w:p>
      <w:pPr>
        <w:pStyle w:val="4"/>
        <w:ind w:firstLine="0" w:firstLineChars="0"/>
        <w:rPr>
          <w:b/>
          <w:bCs/>
          <w:sz w:val="36"/>
          <w:szCs w:val="32"/>
        </w:rPr>
      </w:pPr>
    </w:p>
    <w:p/>
    <w:p>
      <w:pPr>
        <w:rPr>
          <w:rFonts w:hint="eastAsia" w:ascii="微软雅黑" w:hAnsi="微软雅黑" w:eastAsia="微软雅黑" w:cs="仿宋"/>
          <w:color w:val="000000"/>
          <w:sz w:val="21"/>
          <w:szCs w:val="21"/>
        </w:rPr>
      </w:pPr>
      <w:r>
        <w:rPr>
          <w:rFonts w:hint="eastAsia" w:ascii="微软雅黑" w:hAnsi="微软雅黑" w:eastAsia="微软雅黑" w:cs="仿宋"/>
          <w:color w:val="000000"/>
          <w:sz w:val="21"/>
          <w:szCs w:val="21"/>
        </w:rPr>
        <w:br w:type="page"/>
      </w:r>
    </w:p>
    <w:p>
      <w:pPr>
        <w:pStyle w:val="2"/>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二、商务要求条款</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6"/>
        <w:gridCol w:w="6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按国家有关产品“三包”规定执行“三包”，除每项货物特别注明外，其余质保期不少于一年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若厂家免费质保期超过</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年的，按厂家规定执行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，其他设备按照商务要求提供保修。质保期内故障免费上门维修及更换配件。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★交付时间及地点</w:t>
            </w:r>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bookmarkStart w:id="0" w:name="_Hlk121063463"/>
            <w:r>
              <w:rPr>
                <w:rFonts w:hint="eastAsia" w:ascii="仿宋_GB2312" w:hAnsi="仿宋_GB2312" w:eastAsia="仿宋_GB2312" w:cs="仿宋_GB2312"/>
                <w:sz w:val="28"/>
                <w:szCs w:val="28"/>
              </w:rPr>
              <w:t>、交付时间：成交供应商在采购合同签订后15个工作日内供货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并根据采购人约定时间安排人员上门安装调试</w:t>
            </w:r>
            <w:r>
              <w:rPr>
                <w:rFonts w:hint="eastAsia" w:ascii="仿宋_GB2312" w:hAnsi="仿宋_GB2312" w:eastAsia="仿宋_GB2312" w:cs="仿宋_GB2312"/>
                <w:sz w:val="28"/>
                <w:szCs w:val="28"/>
              </w:rPr>
              <w:t>。</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2、交货地点：广西贵港市采购人指定地点。</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bookmarkStart w:id="1" w:name="_Hlk121063569"/>
            <w:r>
              <w:rPr>
                <w:rFonts w:hint="eastAsia" w:ascii="仿宋_GB2312" w:hAnsi="仿宋_GB2312" w:eastAsia="仿宋_GB2312" w:cs="仿宋_GB2312"/>
                <w:sz w:val="28"/>
                <w:szCs w:val="28"/>
              </w:rPr>
              <w:t>★服务标准、服务效率、售后服务要求</w:t>
            </w:r>
            <w:bookmarkEnd w:id="1"/>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bookmarkStart w:id="2" w:name="_Hlk121063578"/>
            <w:r>
              <w:rPr>
                <w:rFonts w:hint="eastAsia" w:ascii="仿宋_GB2312" w:hAnsi="仿宋_GB2312" w:eastAsia="仿宋_GB2312" w:cs="仿宋_GB2312"/>
                <w:sz w:val="28"/>
                <w:szCs w:val="28"/>
              </w:rPr>
              <w:t>1、送货上门，负责相关费用。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2、出现问题成交供应商必须在30分钟内做出响应，1小时到达现场。一般问题应在24小时内解决，重大问题或其它无法迅速解决的问题应在48小时内解决。</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★付款条件</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仿宋_GB2312" w:hAnsi="仿宋_GB2312" w:eastAsia="仿宋_GB2312" w:cs="仿宋_GB2312"/>
                <w:sz w:val="28"/>
                <w:szCs w:val="28"/>
              </w:rPr>
            </w:pPr>
            <w:bookmarkStart w:id="3" w:name="_Hlk121064033"/>
            <w:r>
              <w:rPr>
                <w:rFonts w:hint="eastAsia" w:ascii="仿宋_GB2312" w:hAnsi="仿宋_GB2312" w:eastAsia="仿宋_GB2312" w:cs="仿宋_GB2312"/>
                <w:sz w:val="28"/>
                <w:szCs w:val="28"/>
              </w:rPr>
              <w:t>1、付款方式：</w:t>
            </w:r>
            <w:r>
              <w:rPr>
                <w:rFonts w:hint="eastAsia" w:ascii="仿宋_GB2312" w:hAnsi="仿宋_GB2312" w:eastAsia="仿宋_GB2312" w:cs="仿宋_GB2312"/>
                <w:sz w:val="28"/>
                <w:szCs w:val="28"/>
                <w:lang w:val="en-US" w:eastAsia="zh-CN"/>
              </w:rPr>
              <w:t>通过项目验收</w:t>
            </w:r>
            <w:r>
              <w:rPr>
                <w:rFonts w:hint="eastAsia" w:ascii="仿宋_GB2312" w:hAnsi="仿宋_GB2312" w:eastAsia="仿宋_GB2312" w:cs="仿宋_GB2312"/>
                <w:sz w:val="28"/>
                <w:szCs w:val="28"/>
              </w:rPr>
              <w:t>后15个工作日内支付合同金额的100%货款。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2、成交供应商凭以下有效文件与采购人结算：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（1）项目验收合格后供持正式发票、验收联审表、合同自行到采购人处结算，采购人凭供应商提供资料支付全部款项。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（2）本合同使用货币为人民币。</w:t>
            </w:r>
            <w:bookmarkEnd w:id="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★报价要求</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napToGrid w:val="0"/>
                <w:kern w:val="11"/>
                <w:sz w:val="28"/>
                <w:szCs w:val="28"/>
              </w:rPr>
            </w:pPr>
            <w:bookmarkStart w:id="4" w:name="_Hlk121063749"/>
            <w:r>
              <w:rPr>
                <w:rFonts w:hint="eastAsia" w:ascii="仿宋_GB2312" w:hAnsi="仿宋_GB2312" w:eastAsia="仿宋_GB2312" w:cs="仿宋_GB2312"/>
                <w:snapToGrid w:val="0"/>
                <w:kern w:val="11"/>
                <w:sz w:val="28"/>
                <w:szCs w:val="28"/>
              </w:rPr>
              <w:t>报价含货物、随配附件、备品备件、工具、运抵指定交货地点、现场安装调试的各种费用、施工配合费和售后服务、税金及其他所有成本费用的总和及采购文件所要求的相关服务以及合同所示全部责任、义务和一般风险等全过程产生的所有成本和费用以及一切税费，对采购的全部货物进行完整唯一报价。</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5" w:name="_Hlk121063801"/>
            <w:r>
              <w:rPr>
                <w:rFonts w:hint="eastAsia" w:ascii="仿宋_GB2312" w:hAnsi="仿宋_GB2312" w:eastAsia="仿宋_GB2312" w:cs="仿宋_GB2312"/>
                <w:sz w:val="28"/>
                <w:szCs w:val="28"/>
              </w:rPr>
              <w:t>★其他要求</w:t>
            </w:r>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要求竞标货物是全新的、完整、未使用过的、合格的、满足本项目技术需求及要求的货物。设备必须为符合国家有关质量安全标准的合格产品。产品零部件、配件、包装及安装材料必须是未经使用的全新的并符合国家有关质量安全标准的合格产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2、本项目所有货物均严格按签订的采购合同、供应商响应和承诺的技术参数及性能和国家有关标准进行验收，达不到要求的验收不合格，并按相关法律法规进行处理。</w:t>
            </w:r>
          </w:p>
        </w:tc>
      </w:tr>
      <w:bookmarkEnd w:id="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6" w:name="_Hlk121064117"/>
            <w:r>
              <w:rPr>
                <w:rFonts w:hint="eastAsia" w:ascii="仿宋_GB2312" w:hAnsi="仿宋_GB2312" w:eastAsia="仿宋_GB2312" w:cs="仿宋_GB2312"/>
                <w:sz w:val="28"/>
                <w:szCs w:val="28"/>
              </w:rPr>
              <w:t>项目验收要求</w:t>
            </w:r>
            <w:bookmarkEnd w:id="6"/>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bookmarkStart w:id="7" w:name="_Hlk121064153"/>
            <w:r>
              <w:rPr>
                <w:rFonts w:hint="eastAsia" w:ascii="仿宋_GB2312" w:hAnsi="仿宋_GB2312" w:eastAsia="仿宋_GB2312" w:cs="仿宋_GB2312"/>
                <w:sz w:val="28"/>
                <w:szCs w:val="28"/>
              </w:rPr>
              <w:t>1、货物到货后，由成交供应商提出书面申请，经采购人项目负责部门确认签字后由其组织验收小组按采购文件、成交供应商相应文件、合同对供应商完成项目进行现场验收，验收合格则进入报账流程，验收不合格则供应商整改后再验收，直到合格。</w:t>
            </w:r>
          </w:p>
          <w:p>
            <w:pPr>
              <w:pStyle w:val="5"/>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2、采购人应在货到指定地点之日起3个工作日内验收完毕，并作出验收结果报告。验收时供应商必须在现场。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3、成交供应商应保证货物到达用户所在地完好无损，如有缺漏、损坏，由成交供应商负责调换、补齐或赔偿。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4、成交供应商应提供完备的技术资料和合格证等，若需要派遣专业技术人员进行现场安装调试的则必须安排专业人员到场服务。验收合格条件如下：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①货物品种、规格、数量、技术参数以及品牌、制造商等与采购文件或合同一致，性能指标、功能参数达到规定的标准。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②货物技术资料、合格证等资料齐全。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③在规定时间内完成交货并验收，并经采购人确认。</w:t>
            </w:r>
            <w:bookmarkEnd w:id="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注意：</w:t>
            </w:r>
            <w:r>
              <w:rPr>
                <w:rFonts w:hint="eastAsia" w:ascii="仿宋_GB2312" w:hAnsi="仿宋_GB2312" w:eastAsia="仿宋_GB2312" w:cs="仿宋_GB2312"/>
                <w:sz w:val="28"/>
                <w:szCs w:val="28"/>
              </w:rPr>
              <w:t>以上标注“★”号条款供应商必须全部满足，缺一不可。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C044F"/>
    <w:multiLevelType w:val="multilevel"/>
    <w:tmpl w:val="04EC044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YmM2M2IyMTg1NzFiZTE1NjkxYjM5OWM3ZWFkNmIifQ=="/>
  </w:docVars>
  <w:rsids>
    <w:rsidRoot w:val="00F649D3"/>
    <w:rsid w:val="00047ECF"/>
    <w:rsid w:val="00055B09"/>
    <w:rsid w:val="00076D3C"/>
    <w:rsid w:val="000D744D"/>
    <w:rsid w:val="0013268A"/>
    <w:rsid w:val="0016300C"/>
    <w:rsid w:val="001C5CE8"/>
    <w:rsid w:val="00207EBA"/>
    <w:rsid w:val="00210FB5"/>
    <w:rsid w:val="00230238"/>
    <w:rsid w:val="00265CB0"/>
    <w:rsid w:val="002831FB"/>
    <w:rsid w:val="0028586F"/>
    <w:rsid w:val="00347EF8"/>
    <w:rsid w:val="00361F4F"/>
    <w:rsid w:val="003671B6"/>
    <w:rsid w:val="00397638"/>
    <w:rsid w:val="00432EFB"/>
    <w:rsid w:val="00453E6E"/>
    <w:rsid w:val="0046604F"/>
    <w:rsid w:val="00494B8C"/>
    <w:rsid w:val="004F7D20"/>
    <w:rsid w:val="005559A4"/>
    <w:rsid w:val="005661EF"/>
    <w:rsid w:val="005843A0"/>
    <w:rsid w:val="005A782E"/>
    <w:rsid w:val="005D5210"/>
    <w:rsid w:val="00603116"/>
    <w:rsid w:val="00624914"/>
    <w:rsid w:val="00651738"/>
    <w:rsid w:val="00664B89"/>
    <w:rsid w:val="00664E9C"/>
    <w:rsid w:val="00677E1A"/>
    <w:rsid w:val="00696D7B"/>
    <w:rsid w:val="006F732B"/>
    <w:rsid w:val="0079432E"/>
    <w:rsid w:val="007A21C9"/>
    <w:rsid w:val="007C4CAA"/>
    <w:rsid w:val="007E6A82"/>
    <w:rsid w:val="008F1AC0"/>
    <w:rsid w:val="00931B4E"/>
    <w:rsid w:val="009A1252"/>
    <w:rsid w:val="009D0769"/>
    <w:rsid w:val="00A01DF3"/>
    <w:rsid w:val="00A90E3C"/>
    <w:rsid w:val="00AB5C76"/>
    <w:rsid w:val="00AB7B25"/>
    <w:rsid w:val="00AD63AF"/>
    <w:rsid w:val="00B07516"/>
    <w:rsid w:val="00B10D77"/>
    <w:rsid w:val="00B20B08"/>
    <w:rsid w:val="00B72D90"/>
    <w:rsid w:val="00B80C7E"/>
    <w:rsid w:val="00BA4223"/>
    <w:rsid w:val="00C47385"/>
    <w:rsid w:val="00C52E85"/>
    <w:rsid w:val="00C92B6E"/>
    <w:rsid w:val="00CE2C36"/>
    <w:rsid w:val="00CE6642"/>
    <w:rsid w:val="00CF7C4C"/>
    <w:rsid w:val="00D671C4"/>
    <w:rsid w:val="00D67B8E"/>
    <w:rsid w:val="00D72F2A"/>
    <w:rsid w:val="00D76500"/>
    <w:rsid w:val="00DB489B"/>
    <w:rsid w:val="00DB7903"/>
    <w:rsid w:val="00DC716B"/>
    <w:rsid w:val="00E5469E"/>
    <w:rsid w:val="00F00ADC"/>
    <w:rsid w:val="00F16475"/>
    <w:rsid w:val="00F17D1F"/>
    <w:rsid w:val="00F649D3"/>
    <w:rsid w:val="00F64DF9"/>
    <w:rsid w:val="00F96A4E"/>
    <w:rsid w:val="045F7831"/>
    <w:rsid w:val="07C40658"/>
    <w:rsid w:val="08111380"/>
    <w:rsid w:val="09A2685F"/>
    <w:rsid w:val="0B754501"/>
    <w:rsid w:val="0BE731A4"/>
    <w:rsid w:val="0F3E0021"/>
    <w:rsid w:val="139C54FB"/>
    <w:rsid w:val="23CB0A05"/>
    <w:rsid w:val="2599514A"/>
    <w:rsid w:val="26B61130"/>
    <w:rsid w:val="2BE62A79"/>
    <w:rsid w:val="35694CE3"/>
    <w:rsid w:val="37AE4F05"/>
    <w:rsid w:val="39C02AC5"/>
    <w:rsid w:val="429F4325"/>
    <w:rsid w:val="45790B64"/>
    <w:rsid w:val="461921B1"/>
    <w:rsid w:val="461D28FF"/>
    <w:rsid w:val="463E6C62"/>
    <w:rsid w:val="4A181A3D"/>
    <w:rsid w:val="4E6E0858"/>
    <w:rsid w:val="53B813F1"/>
    <w:rsid w:val="56D241A6"/>
    <w:rsid w:val="5FD6489C"/>
    <w:rsid w:val="61EF609C"/>
    <w:rsid w:val="621B4190"/>
    <w:rsid w:val="64A80175"/>
    <w:rsid w:val="74E223CE"/>
    <w:rsid w:val="77C95F73"/>
    <w:rsid w:val="79E2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rPr>
      <w:rFonts w:eastAsiaTheme="minorEastAsia" w:cstheme="minorBidi"/>
    </w:rPr>
  </w:style>
  <w:style w:type="paragraph" w:styleId="4">
    <w:name w:val="Body Text"/>
    <w:basedOn w:val="1"/>
    <w:link w:val="19"/>
    <w:unhideWhenUsed/>
    <w:qFormat/>
    <w:uiPriority w:val="99"/>
    <w:pPr>
      <w:spacing w:after="120"/>
      <w:ind w:firstLine="200" w:firstLineChars="200"/>
    </w:pPr>
    <w:rPr>
      <w:rFonts w:eastAsia="仿宋" w:asciiTheme="minorHAnsi" w:hAnsiTheme="minorHAnsi" w:cstheme="minorBidi"/>
      <w:sz w:val="32"/>
      <w:szCs w:val="22"/>
    </w:rPr>
  </w:style>
  <w:style w:type="paragraph" w:styleId="5">
    <w:name w:val="Plain Text"/>
    <w:basedOn w:val="1"/>
    <w:link w:val="20"/>
    <w:qFormat/>
    <w:uiPriority w:val="0"/>
    <w:rPr>
      <w:rFonts w:ascii="宋体" w:hAnsi="Courier New" w:cs="Courier New"/>
      <w:kern w:val="0"/>
      <w:sz w:val="20"/>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character" w:styleId="12">
    <w:name w:val="annotation reference"/>
    <w:qFormat/>
    <w:uiPriority w:val="99"/>
    <w:rPr>
      <w:sz w:val="21"/>
      <w:szCs w:val="21"/>
    </w:rPr>
  </w:style>
  <w:style w:type="character" w:customStyle="1" w:styleId="13">
    <w:name w:val="标题 2字符"/>
    <w:basedOn w:val="11"/>
    <w:link w:val="2"/>
    <w:semiHidden/>
    <w:qFormat/>
    <w:uiPriority w:val="9"/>
    <w:rPr>
      <w:rFonts w:asciiTheme="majorHAnsi" w:hAnsiTheme="majorHAnsi" w:eastAsiaTheme="majorEastAsia" w:cstheme="majorBidi"/>
      <w:b/>
      <w:bCs/>
      <w:sz w:val="32"/>
      <w:szCs w:val="32"/>
    </w:rPr>
  </w:style>
  <w:style w:type="character" w:customStyle="1" w:styleId="14">
    <w:name w:val="批注文字字符"/>
    <w:link w:val="3"/>
    <w:qFormat/>
    <w:uiPriority w:val="0"/>
    <w:rPr>
      <w:rFonts w:ascii="Times New Roman" w:hAnsi="Times New Roman"/>
      <w:szCs w:val="24"/>
    </w:rPr>
  </w:style>
  <w:style w:type="character" w:customStyle="1" w:styleId="15">
    <w:name w:val="批注文字 Char1"/>
    <w:basedOn w:val="11"/>
    <w:semiHidden/>
    <w:qFormat/>
    <w:uiPriority w:val="99"/>
    <w:rPr>
      <w:rFonts w:ascii="Times New Roman" w:hAnsi="Times New Roman" w:eastAsia="宋体" w:cs="Times New Roman"/>
      <w:szCs w:val="24"/>
    </w:rPr>
  </w:style>
  <w:style w:type="character" w:customStyle="1" w:styleId="16">
    <w:name w:val="批注框文本字符"/>
    <w:basedOn w:val="11"/>
    <w:link w:val="6"/>
    <w:semiHidden/>
    <w:qFormat/>
    <w:uiPriority w:val="99"/>
    <w:rPr>
      <w:rFonts w:ascii="Times New Roman" w:hAnsi="Times New Roman" w:eastAsia="宋体" w:cs="Times New Roman"/>
      <w:sz w:val="18"/>
      <w:szCs w:val="18"/>
    </w:rPr>
  </w:style>
  <w:style w:type="character" w:customStyle="1" w:styleId="17">
    <w:name w:val="页眉字符"/>
    <w:basedOn w:val="11"/>
    <w:link w:val="8"/>
    <w:qFormat/>
    <w:uiPriority w:val="99"/>
    <w:rPr>
      <w:kern w:val="2"/>
      <w:sz w:val="18"/>
      <w:szCs w:val="18"/>
    </w:rPr>
  </w:style>
  <w:style w:type="character" w:customStyle="1" w:styleId="18">
    <w:name w:val="页脚字符"/>
    <w:basedOn w:val="11"/>
    <w:link w:val="7"/>
    <w:qFormat/>
    <w:uiPriority w:val="99"/>
    <w:rPr>
      <w:kern w:val="2"/>
      <w:sz w:val="18"/>
      <w:szCs w:val="18"/>
    </w:rPr>
  </w:style>
  <w:style w:type="character" w:customStyle="1" w:styleId="19">
    <w:name w:val="正文文本字符"/>
    <w:basedOn w:val="11"/>
    <w:link w:val="4"/>
    <w:qFormat/>
    <w:uiPriority w:val="99"/>
    <w:rPr>
      <w:rFonts w:eastAsia="仿宋" w:asciiTheme="minorHAnsi" w:hAnsiTheme="minorHAnsi" w:cstheme="minorBidi"/>
      <w:kern w:val="2"/>
      <w:sz w:val="32"/>
      <w:szCs w:val="22"/>
    </w:rPr>
  </w:style>
  <w:style w:type="character" w:customStyle="1" w:styleId="20">
    <w:name w:val="纯文本字符"/>
    <w:link w:val="5"/>
    <w:qFormat/>
    <w:uiPriority w:val="0"/>
    <w:rPr>
      <w:rFonts w:ascii="宋体" w:hAnsi="Courier New" w:cs="Courier New"/>
      <w:szCs w:val="21"/>
    </w:rPr>
  </w:style>
  <w:style w:type="character" w:customStyle="1" w:styleId="21">
    <w:name w:val="纯文本 Char1"/>
    <w:basedOn w:val="11"/>
    <w:semiHidden/>
    <w:qFormat/>
    <w:uiPriority w:val="99"/>
    <w:rPr>
      <w:rFonts w:ascii="宋体" w:hAnsi="Courier New" w:cs="Courier New"/>
      <w:kern w:val="2"/>
      <w:sz w:val="21"/>
      <w:szCs w:val="21"/>
    </w:rPr>
  </w:style>
  <w:style w:type="paragraph" w:styleId="22">
    <w:name w:val="List Paragraph"/>
    <w:basedOn w:val="1"/>
    <w:qFormat/>
    <w:uiPriority w:val="99"/>
    <w:pPr>
      <w:ind w:firstLine="420" w:firstLineChars="200"/>
    </w:pPr>
  </w:style>
  <w:style w:type="character" w:customStyle="1" w:styleId="23">
    <w:name w:val="font01"/>
    <w:basedOn w:val="11"/>
    <w:qFormat/>
    <w:uiPriority w:val="0"/>
    <w:rPr>
      <w:rFonts w:hint="eastAsia" w:ascii="宋体" w:hAnsi="宋体" w:eastAsia="宋体" w:cs="宋体"/>
      <w:color w:val="FF0000"/>
      <w:sz w:val="20"/>
      <w:szCs w:val="20"/>
      <w:u w:val="none"/>
    </w:rPr>
  </w:style>
  <w:style w:type="character" w:customStyle="1" w:styleId="24">
    <w:name w:val="font31"/>
    <w:basedOn w:val="11"/>
    <w:qFormat/>
    <w:uiPriority w:val="0"/>
    <w:rPr>
      <w:rFonts w:hint="eastAsia" w:ascii="宋体" w:hAnsi="宋体" w:eastAsia="宋体" w:cs="宋体"/>
      <w:color w:val="000000"/>
      <w:sz w:val="20"/>
      <w:szCs w:val="20"/>
      <w:u w:val="none"/>
    </w:rPr>
  </w:style>
  <w:style w:type="character" w:customStyle="1" w:styleId="25">
    <w:name w:val="font7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266</Words>
  <Characters>1519</Characters>
  <Lines>12</Lines>
  <Paragraphs>3</Paragraphs>
  <TotalTime>6</TotalTime>
  <ScaleCrop>false</ScaleCrop>
  <LinksUpToDate>false</LinksUpToDate>
  <CharactersWithSpaces>1782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2022-10-13T07:55:00Z</dcterms:created>
  <dc:creator>Windows 用户</dc:creator>
  <cp:lastModifiedBy>gxlv</cp:lastModifiedBy>
  <dcterms:modified xsi:type="dcterms:W3CDTF">2023-07-05T03:50:33Z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0FFEC54BB4E54D3DBE5C3E35711BF61E</vt:lpwstr>
  </property>
</Properties>
</file>