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15750"/>
        </w:tabs>
        <w:kinsoku/>
        <w:wordWrap/>
        <w:overflowPunct/>
        <w:topLinePunct w:val="0"/>
        <w:autoSpaceDE/>
        <w:autoSpaceDN/>
        <w:bidi w:val="0"/>
        <w:adjustRightInd/>
        <w:snapToGrid/>
        <w:spacing w:before="313" w:beforeLines="100" w:after="313" w:afterLines="100"/>
        <w:jc w:val="center"/>
        <w:textAlignment w:val="auto"/>
        <w:rPr>
          <w:rFonts w:hint="eastAsia" w:eastAsiaTheme="minorEastAsia"/>
          <w:b/>
          <w:bCs/>
          <w:sz w:val="36"/>
          <w:szCs w:val="44"/>
          <w:lang w:eastAsia="zh-CN"/>
        </w:rPr>
      </w:pPr>
      <w:r>
        <w:rPr>
          <w:rFonts w:hint="eastAsia"/>
          <w:b/>
          <w:bCs/>
          <w:sz w:val="36"/>
          <w:szCs w:val="44"/>
          <w:lang w:val="en-US" w:eastAsia="zh-CN"/>
        </w:rPr>
        <w:t>实训计算机房项目(政府集中采购目录外产品）报价函</w:t>
      </w:r>
    </w:p>
    <w:tbl>
      <w:tblPr>
        <w:tblStyle w:val="10"/>
        <w:tblW w:w="1011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76"/>
        <w:gridCol w:w="1127"/>
        <w:gridCol w:w="3679"/>
        <w:gridCol w:w="825"/>
        <w:gridCol w:w="1018"/>
        <w:gridCol w:w="1350"/>
        <w:gridCol w:w="153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2"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序号</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产品名称</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spacing w:line="360" w:lineRule="exact"/>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性能参数</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0" w:leftChars="0" w:right="0" w:righ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数量</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0" w:leftChars="0" w:right="0" w:rightChars="0" w:firstLine="0" w:firstLineChars="0"/>
              <w:jc w:val="center"/>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单位</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line="360" w:lineRule="exact"/>
              <w:ind w:left="0" w:leftChars="0" w:right="0" w:righ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单价</w:t>
            </w:r>
          </w:p>
        </w:tc>
        <w:tc>
          <w:tcPr>
            <w:tcW w:w="1536" w:type="dxa"/>
            <w:tcBorders>
              <w:top w:val="single" w:color="auto" w:sz="4" w:space="0"/>
              <w:left w:val="single" w:color="auto" w:sz="4" w:space="0"/>
              <w:bottom w:val="single" w:color="auto" w:sz="4" w:space="0"/>
              <w:right w:val="single" w:color="auto" w:sz="4" w:space="0"/>
            </w:tcBorders>
            <w:noWrap w:val="0"/>
            <w:vAlign w:val="center"/>
          </w:tcPr>
          <w:p>
            <w:pPr>
              <w:tabs>
                <w:tab w:val="left" w:pos="15750"/>
              </w:tabs>
              <w:spacing w:line="360" w:lineRule="exact"/>
              <w:ind w:left="0" w:leftChars="0" w:right="0" w:rightChars="0" w:firstLine="0" w:firstLineChars="0"/>
              <w:jc w:val="center"/>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小计</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1</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瘦终端</w:t>
            </w:r>
          </w:p>
        </w:tc>
        <w:tc>
          <w:tcPr>
            <w:tcW w:w="367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★1、单台硬件配置要求：CPU采用ARM架构，单CPU配置不低于四核，主频≥1.6Ghz，内存≥1G，要求至少有6个USB接口、1个标准以太网接口、1组音频输入/输出接口；</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2、支持在DHCP环境下的即插即用模式部署，且支持手动配置网络接口地址和虚拟桌面平台的接入地址或域名；</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★3、为了方便管理，管理方式为虚拟机和瘦终端统一管理，降低管理难度；</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★4、为了方便管理，需支持配置自定义开机画面、支持瘦终端分组管理、支持配置瘦终端定时开关机计划、 支持开启“瘦终端加电自启”功能、支持配置是否自动下载并安装更新、支持批量移动/删除/ 关闭云终端、支持配置是否允许自动登录和保存密码；</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5、为了保证能正常、安全的接入到局域网，要求兼容登录局域网所必需的软件以及外设，如杀毒软件、摄像头、打印机、刻录机、扫描仪；</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6、为了降低用户的使用难度，需要瘦终端的使用可以和PC一致，例如在关机方面，在虚拟机中点击“开始”菜单、点击“关机”按钮，云终端和操作系统将会一体化关闭；</w:t>
            </w:r>
          </w:p>
          <w:p>
            <w:pPr>
              <w:numPr>
                <w:ilvl w:val="0"/>
                <w:numId w:val="0"/>
              </w:numPr>
              <w:spacing w:line="360" w:lineRule="exact"/>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★7、为保证兼容性，要求</w:t>
            </w:r>
            <w:r>
              <w:rPr>
                <w:rFonts w:hint="eastAsia" w:ascii="宋体" w:hAnsi="宋体" w:cs="宋体"/>
                <w:color w:val="000000"/>
                <w:sz w:val="24"/>
                <w:szCs w:val="24"/>
                <w:highlight w:val="none"/>
                <w:lang w:val="en-US" w:eastAsia="zh-CN"/>
              </w:rPr>
              <w:t>云服务器</w:t>
            </w:r>
            <w:r>
              <w:rPr>
                <w:rFonts w:hint="eastAsia" w:ascii="宋体" w:hAnsi="宋体" w:eastAsia="宋体" w:cs="宋体"/>
                <w:color w:val="000000"/>
                <w:sz w:val="24"/>
                <w:szCs w:val="24"/>
                <w:highlight w:val="none"/>
                <w:lang w:val="en-US" w:eastAsia="zh-CN"/>
              </w:rPr>
              <w:t>、瘦终端、终端接入授权采用同一品牌且</w:t>
            </w:r>
            <w:r>
              <w:rPr>
                <w:rFonts w:hint="eastAsia" w:ascii="宋体" w:hAnsi="宋体" w:cs="宋体"/>
                <w:color w:val="000000"/>
                <w:sz w:val="24"/>
                <w:szCs w:val="24"/>
                <w:highlight w:val="none"/>
                <w:lang w:val="en-US" w:eastAsia="zh-CN"/>
              </w:rPr>
              <w:t>能兼容使用</w:t>
            </w:r>
            <w:r>
              <w:rPr>
                <w:rFonts w:hint="eastAsia" w:ascii="宋体" w:hAnsi="宋体" w:eastAsia="宋体" w:cs="宋体"/>
                <w:color w:val="000000"/>
                <w:sz w:val="24"/>
                <w:szCs w:val="24"/>
                <w:highlight w:val="none"/>
                <w:lang w:val="en-US" w:eastAsia="zh-CN"/>
              </w:rPr>
              <w:t>。</w:t>
            </w:r>
          </w:p>
        </w:tc>
        <w:tc>
          <w:tcPr>
            <w:tcW w:w="82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w:t>
            </w:r>
          </w:p>
        </w:tc>
        <w:tc>
          <w:tcPr>
            <w:tcW w:w="101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台</w:t>
            </w:r>
          </w:p>
        </w:tc>
        <w:tc>
          <w:tcPr>
            <w:tcW w:w="1350"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sz w:val="24"/>
                <w:szCs w:val="24"/>
              </w:rPr>
            </w:pPr>
          </w:p>
        </w:tc>
        <w:tc>
          <w:tcPr>
            <w:tcW w:w="1536" w:type="dxa"/>
            <w:tcBorders>
              <w:top w:val="single" w:color="auto" w:sz="4" w:space="0"/>
              <w:left w:val="single" w:color="auto" w:sz="4" w:space="0"/>
              <w:right w:val="single" w:color="auto" w:sz="4" w:space="0"/>
            </w:tcBorders>
            <w:noWrap w:val="0"/>
            <w:vAlign w:val="center"/>
          </w:tcPr>
          <w:p>
            <w:pPr>
              <w:tabs>
                <w:tab w:val="left" w:pos="15750"/>
              </w:tabs>
              <w:spacing w:beforeLines="0" w:afterLines="0"/>
              <w:ind w:left="0" w:leftChars="0" w:right="0" w:rightChars="0"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2</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终端接入授权</w:t>
            </w:r>
          </w:p>
        </w:tc>
        <w:tc>
          <w:tcPr>
            <w:tcW w:w="367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1、支持PC、笔记本电脑（含Windows操作系统和MAC笔记本）、瘦终端（含ARM和X86）、iPad、iPhone、Android移动终端等设备接入访问虚拟桌面；</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★2、支持管理员可自定义设置加速应用进程、降速应用进程，以及算法推荐的优化项，对已运行应用的CPU和内存进行实时优化，有效提高虚拟机资源利用率；（提供功能界面截图并加盖投标人公章）</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★3、支持虚拟机扩容审批功能，用户虚拟机配置变更申请提交完成后，需要管理员进行审核；（提供功能界面截图并加盖投标人公章）</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★4、支持对个人磁盘加密，保障个人稳私安全；（提供功能界面截图并加盖投标人公章）</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支持在桌面云管理组件中内置应用控制技术，实现基于黑名单或白名单策略的桌面应用管控，当启用应用控制时，桌面虚拟机将无法运行黑名单列表中的应用程序或无法运行除操作系统必要程序与列表中之外的任何应用程序，并且内置的应用程序规则至少200条；</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6、支持根据特定的使用场景批量进行策略设置，场景可基于IP范围、终端类型等；</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7、为了应对部分临时出现的场景，需支持临时权限，管理员为部分用户临时在某个时间段内放通usb和pc剪切板等权限，并在到期后自动回收该权限，保证数据安全；</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8、支持虚拟机回收站功能，避免误操作导致虚拟机数据丢失，当虚拟机删除后，会自动进入回收站，支持恢复到原位置，可设置回收站自动清理时长；</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9、为了提高平台安全性，平台需内置防火墙，包括设置过滤规则、NAT设置、访问监控、防DOS攻击、QOS上传下载规则等；</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10、支持客户端准入检测，可根据用户接入的终端类型、操作系统版本、接入IP和时间、 软件安装情况等条件设置接入访问策略，如客户端不满足安全检测要求则不允许接入；</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11、支持在控制台查看用户虚拟机的CPU、内存、磁盘的详细情况，且CPU、内存支持正反排序，磁盘支持按比例的大小进行正序和反序排序；</w:t>
            </w:r>
          </w:p>
          <w:p>
            <w:pPr>
              <w:numPr>
                <w:ilvl w:val="0"/>
                <w:numId w:val="0"/>
              </w:numPr>
              <w:spacing w:line="360" w:lineRule="exact"/>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★12、为保证兼容性，要求</w:t>
            </w:r>
            <w:r>
              <w:rPr>
                <w:rFonts w:hint="eastAsia" w:ascii="宋体" w:hAnsi="宋体" w:cs="宋体"/>
                <w:color w:val="000000"/>
                <w:sz w:val="24"/>
                <w:szCs w:val="24"/>
                <w:highlight w:val="none"/>
                <w:lang w:val="en-US" w:eastAsia="zh-CN"/>
              </w:rPr>
              <w:t>云服务器</w:t>
            </w:r>
            <w:r>
              <w:rPr>
                <w:rFonts w:hint="eastAsia" w:ascii="宋体" w:hAnsi="宋体" w:eastAsia="宋体" w:cs="宋体"/>
                <w:color w:val="000000"/>
                <w:sz w:val="24"/>
                <w:szCs w:val="24"/>
                <w:highlight w:val="none"/>
                <w:lang w:val="en-US" w:eastAsia="zh-CN"/>
              </w:rPr>
              <w:t>、瘦终端、终端接入授权采用同一品牌</w:t>
            </w:r>
            <w:r>
              <w:rPr>
                <w:rFonts w:hint="eastAsia" w:ascii="宋体" w:hAnsi="宋体" w:cs="宋体"/>
                <w:color w:val="000000"/>
                <w:sz w:val="24"/>
                <w:szCs w:val="24"/>
                <w:highlight w:val="none"/>
                <w:lang w:val="en-US" w:eastAsia="zh-CN"/>
              </w:rPr>
              <w:t>且能兼容使用</w:t>
            </w:r>
            <w:r>
              <w:rPr>
                <w:rFonts w:hint="eastAsia" w:ascii="宋体" w:hAnsi="宋体" w:eastAsia="宋体" w:cs="宋体"/>
                <w:color w:val="000000"/>
                <w:sz w:val="24"/>
                <w:szCs w:val="24"/>
                <w:highlight w:val="none"/>
                <w:lang w:val="en-US" w:eastAsia="zh-CN"/>
              </w:rPr>
              <w:t>。</w:t>
            </w:r>
          </w:p>
        </w:tc>
        <w:tc>
          <w:tcPr>
            <w:tcW w:w="82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w:t>
            </w:r>
          </w:p>
        </w:tc>
        <w:tc>
          <w:tcPr>
            <w:tcW w:w="101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c>
          <w:tcPr>
            <w:tcW w:w="1350"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sz w:val="24"/>
                <w:szCs w:val="24"/>
              </w:rPr>
            </w:pPr>
          </w:p>
        </w:tc>
        <w:tc>
          <w:tcPr>
            <w:tcW w:w="1536" w:type="dxa"/>
            <w:tcBorders>
              <w:top w:val="single" w:color="auto" w:sz="4" w:space="0"/>
              <w:left w:val="single" w:color="auto" w:sz="4" w:space="0"/>
              <w:right w:val="single" w:color="auto" w:sz="4" w:space="0"/>
            </w:tcBorders>
            <w:noWrap w:val="0"/>
            <w:vAlign w:val="center"/>
          </w:tcPr>
          <w:p>
            <w:pPr>
              <w:tabs>
                <w:tab w:val="left" w:pos="15750"/>
              </w:tabs>
              <w:spacing w:beforeLines="0" w:afterLines="0"/>
              <w:ind w:left="0" w:leftChars="0" w:right="0" w:rightChars="0"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3</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课堂管理软件</w:t>
            </w:r>
          </w:p>
        </w:tc>
        <w:tc>
          <w:tcPr>
            <w:tcW w:w="367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1、支持屏屏和视频广播，广播画面不需要经过学生虚拟机，可从教师机直接推送到云终端，这样不仅能够提供更流畅的屏幕广播和学生演示效果，而且能够有效节省广播流量。</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2、支持离线教学，在这种情况下，教师机必须是物理PC，即使服务端网络中断，教师PC依然可以将屏幕广播画面推送给云终端，确保教学业务不中断。</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★3、多频道教学：支持多达24个频道的划分，一个教师可对单个班级或多个班级同时上课；多个教师可同时对多个班级进行不同内容的教学。</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★4、分组教学：教师分派组长执行指定的功能，组长代替教师进行小组教学，小组不需要再临时创建，可以直接使用既有分组信息，教师可以监控每个分组的教学过程，以了解分组教学的进度。</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5、屏幕监视：教师机可以监视单一、部分、全体学生机的屏幕，教师机每屏可监视多个学生屏幕（最多36个）。可以控制教师机监控的同屏幕各窗口间、屏幕与屏幕间的切换速度。可手动或自动循环监视。</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6、分组讨论：教师可以创建多个小组进行讨论活动，并可任意选择分组加入讨论活动。同组师生支持多种方式进行交流，包括文字，表情，图片等。</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★7、随堂小考：教师启动快速的单题考试或随堂调查，限定考试时间，学生答题后立即给出结果，结果显示学生答案柱状图分析和答题时间，可作为抢答依据。</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作业提交：学生把做好的作业直接提交到教师机，方便教师批改作业要收取的麻烦。通过特殊设置，学生提交作业时必需经过教师审批通过后才可提交，教师可以选择接收和拒绝学生提交的文件。并且教师可以限制学生提交文件的数目和大小。</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9、分组管理：教师可以新建，删除，重命名分组，添加和删除分组中的成员，设置小组长。分组信息随班级模型永久保存，下次上课可以直接使用保存的分组。</w:t>
            </w:r>
          </w:p>
          <w:p>
            <w:pPr>
              <w:numPr>
                <w:ilvl w:val="0"/>
                <w:numId w:val="0"/>
              </w:numPr>
              <w:spacing w:line="360" w:lineRule="exact"/>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10、签到：提供学生名单管理工具，为软件和考试模块提供实名验证。提供点名功能，支持保留学生多次登录记录、考勤统计、签到信息的导出。</w:t>
            </w:r>
          </w:p>
        </w:tc>
        <w:tc>
          <w:tcPr>
            <w:tcW w:w="82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61</w:t>
            </w:r>
          </w:p>
        </w:tc>
        <w:tc>
          <w:tcPr>
            <w:tcW w:w="101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c>
          <w:tcPr>
            <w:tcW w:w="1350"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sz w:val="24"/>
                <w:szCs w:val="24"/>
              </w:rPr>
            </w:pPr>
          </w:p>
        </w:tc>
        <w:tc>
          <w:tcPr>
            <w:tcW w:w="1536" w:type="dxa"/>
            <w:tcBorders>
              <w:top w:val="single" w:color="auto" w:sz="4" w:space="0"/>
              <w:left w:val="single" w:color="auto" w:sz="4" w:space="0"/>
              <w:right w:val="single" w:color="auto" w:sz="4" w:space="0"/>
            </w:tcBorders>
            <w:noWrap w:val="0"/>
            <w:vAlign w:val="center"/>
          </w:tcPr>
          <w:p>
            <w:pPr>
              <w:tabs>
                <w:tab w:val="left" w:pos="15750"/>
              </w:tabs>
              <w:spacing w:beforeLines="0" w:afterLines="0"/>
              <w:ind w:left="0" w:leftChars="0" w:right="0" w:rightChars="0"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4</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终端交换机</w:t>
            </w:r>
          </w:p>
        </w:tc>
        <w:tc>
          <w:tcPr>
            <w:tcW w:w="367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★1、千兆电口≥48个、万兆光口≥4个、1个Console口</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2、交换性能≥336 Gbps，包转发率≥144 Mpps</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3、工作温度：0°C～50°C，存储温度：-40°C～70°C</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4、支持胖瘦一体化，支持智能交换机和普通交换机两种工作模式，可以根据不同的组网需要，随时灵活的进行切换</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★5、可通过配置静态IP地址，DHCP Option43方式，DNS域名等方式发现控制器平台</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6、支持通过控制器平台一键替换“按钮”即可完成故障设备替换</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7、支持STP、RSTP、MSTP协议，支持IGMP v1/v2/v3 Snooping</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8、支持IEEE 802.3az 标准的 EEE节能技术：当EEE使能时，从而大幅度的减小端口在该阶段的功耗，达到了节能的目的。</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9、支持MAC地址自动学习</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★10、为提高设备可靠性，支持M-LAG技术；</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 ★支持通过控制器平台查看交换机端口负载情况；</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★12、为保证内网安全性，防止病毒在内网横向传播，要求交换机具有东西向风险流量安全功能； </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★13、为禁止非法终端(例如私接路由器)接入，需支持终端类型库，能自动识别PC电脑终端、路由器、监控摄像头终端设备等；</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14、支持防网关ARP欺骗，管理员分级管理，支持防止DOS、ARP攻击功能</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15、支持通过APP进行远程管理，并且可以修改交换机网络配置；</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16、支持通过在控制器平台的Web页面对交换机进行可视化管理查看，包括交换机的端口状态及配置、vlan信息；</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★17、支持通过控制器平台对交换机端口进行开启与关闭；</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★18、支持安全状态页面中显示安全事件；</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19、支持交换机端口终端类型变更后，通过APP、短信告警；</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20、支持通过控制器平台查看交换机面板端口工作状态，通过端口颜色显示状态即可判断端口是否在线工作；</w:t>
            </w:r>
          </w:p>
          <w:p>
            <w:pPr>
              <w:numPr>
                <w:ilvl w:val="0"/>
                <w:numId w:val="0"/>
              </w:numPr>
              <w:spacing w:line="360" w:lineRule="exact"/>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★21、为实现远程运维，支持通过手机APP对交换机进行管理。</w:t>
            </w:r>
          </w:p>
        </w:tc>
        <w:tc>
          <w:tcPr>
            <w:tcW w:w="82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01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台</w:t>
            </w:r>
          </w:p>
        </w:tc>
        <w:tc>
          <w:tcPr>
            <w:tcW w:w="1350"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sz w:val="24"/>
                <w:szCs w:val="24"/>
              </w:rPr>
            </w:pPr>
          </w:p>
        </w:tc>
        <w:tc>
          <w:tcPr>
            <w:tcW w:w="1536" w:type="dxa"/>
            <w:tcBorders>
              <w:top w:val="single" w:color="auto" w:sz="4" w:space="0"/>
              <w:left w:val="single" w:color="auto" w:sz="4" w:space="0"/>
              <w:right w:val="single" w:color="auto" w:sz="4" w:space="0"/>
            </w:tcBorders>
            <w:noWrap w:val="0"/>
            <w:vAlign w:val="center"/>
          </w:tcPr>
          <w:p>
            <w:pPr>
              <w:tabs>
                <w:tab w:val="left" w:pos="15750"/>
              </w:tabs>
              <w:spacing w:beforeLines="0" w:afterLines="0"/>
              <w:ind w:left="0" w:leftChars="0" w:right="0" w:rightChars="0"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5</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终端交换机</w:t>
            </w:r>
          </w:p>
        </w:tc>
        <w:tc>
          <w:tcPr>
            <w:tcW w:w="3679" w:type="dxa"/>
            <w:tcBorders>
              <w:top w:val="single" w:color="auto" w:sz="4" w:space="0"/>
              <w:left w:val="single" w:color="auto" w:sz="4" w:space="0"/>
              <w:bottom w:val="single" w:color="auto" w:sz="4" w:space="0"/>
              <w:right w:val="single" w:color="auto" w:sz="4" w:space="0"/>
            </w:tcBorders>
            <w:noWrap w:val="0"/>
            <w:vAlign w:val="top"/>
          </w:tcPr>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★1、千兆电口≥24个、万兆光口≥4个、1个Console口</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2、交换性能≥336 Gbps，包转发率≥108 Mpps</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3、工作温度：0°C～50°C，存储温度：-40°C～70°C</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4、支持胖瘦一体化，支持智能交换机和普通交换机两种工作模式，可以根据不同的组网需要，随时灵活的进行切换</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★5、可通过配置静态IP地址，DHCP Option43方式，DNS域名等方式发现控制器平台；</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6、支持通过控制器平台一键替换“按钮”即可完成故障设备替换</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7、支持STP、RSTP、MSTP协议，支持IGMP v1/v2/v3 Snooping</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8、支持IEEE 802.3az 标准的 EEE节能技术：当EEE使能时，从而大幅度的减小端口在该阶段的功耗，达到了节能的目的。</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9、支持MAC地址自动学习</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★10、为提高设备可靠性，支持M-LAG技术；</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★11、支持通过控制器平台查看交换机端口负载情况；</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 xml:space="preserve">★12、为保证内网安全性，防止病毒在内网横向传播，要求交换机具有东西向风险流量安全功能； </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★13、为禁止非法终端(例如私接路由器)接入，需支持终端类型库，能自动识别PC电脑终端、路由器、监控摄像头终端设备等；</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14、支持防网关ARP欺骗，管理员分级管理，支持防止DOS、ARP攻击功能</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15、支持通过APP进行远程管理，并且可以修改交换机网络配置；</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16、支持通过在控制器平台的Web页面对交换机进行可视化管理查看，包括交换机的端口状态及配置、vlan信息；</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★17、支持通过控制器平台对交换机端口进行开启与关闭；</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★18、支持安全状态页面中显示安全事件；</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19、支持交换机端口终端类型变更后，通过APP、短信告警；</w:t>
            </w:r>
          </w:p>
          <w:p>
            <w:pPr>
              <w:numPr>
                <w:ilvl w:val="0"/>
                <w:numId w:val="0"/>
              </w:numPr>
              <w:spacing w:line="360" w:lineRule="exact"/>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20、支持通过控制器平台查看交换机面板端口工作状态，通过端口颜色显示状态即可判断端口是否在线工作；</w:t>
            </w:r>
          </w:p>
          <w:p>
            <w:pPr>
              <w:numPr>
                <w:ilvl w:val="0"/>
                <w:numId w:val="0"/>
              </w:numPr>
              <w:spacing w:line="360" w:lineRule="exact"/>
              <w:ind w:left="0" w:leftChars="0" w:firstLine="0" w:firstLineChars="0"/>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lang w:val="en-US" w:eastAsia="zh-CN"/>
              </w:rPr>
              <w:t>★21、为实现远程运维，支持通过手机APP对交换机进行管理</w:t>
            </w:r>
          </w:p>
        </w:tc>
        <w:tc>
          <w:tcPr>
            <w:tcW w:w="82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01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台</w:t>
            </w:r>
          </w:p>
        </w:tc>
        <w:tc>
          <w:tcPr>
            <w:tcW w:w="1350"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sz w:val="24"/>
                <w:szCs w:val="24"/>
              </w:rPr>
            </w:pPr>
          </w:p>
        </w:tc>
        <w:tc>
          <w:tcPr>
            <w:tcW w:w="1536" w:type="dxa"/>
            <w:tcBorders>
              <w:top w:val="single" w:color="auto" w:sz="4" w:space="0"/>
              <w:left w:val="single" w:color="auto" w:sz="4" w:space="0"/>
              <w:right w:val="single" w:color="auto" w:sz="4" w:space="0"/>
            </w:tcBorders>
            <w:noWrap w:val="0"/>
            <w:vAlign w:val="center"/>
          </w:tcPr>
          <w:p>
            <w:pPr>
              <w:tabs>
                <w:tab w:val="left" w:pos="15750"/>
              </w:tabs>
              <w:spacing w:beforeLines="0" w:afterLines="0"/>
              <w:ind w:left="0" w:leftChars="0" w:right="0" w:rightChars="0"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6</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服务器机柜</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1、服务器机柜：≥高度1200mm；宽度≥600mm；深≥度1000mm(允许偏差值为±1mm）；</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2、最大静载达500KG,移动承载350KG； </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3、主架用料为：材料采用SPCC1.6mm厚优质冷轧钢板；</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4、安装方孔条为：≥2.0mm厚优质冷轧钢板；表面处理采用脱脂、酸洗磷化静电喷塑 ； </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 xml:space="preserve">机柜高温静电喷涂，表面处理细腻、美观 ； </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5、可方便拆卸的左右侧门和前后门；配轩风扇*2；托板*2；钢化玻璃前门；</w:t>
            </w:r>
          </w:p>
          <w:p>
            <w:pPr>
              <w:keepNext w:val="0"/>
              <w:keepLines w:val="0"/>
              <w:pageBreakBefore w:val="0"/>
              <w:numPr>
                <w:ilvl w:val="0"/>
                <w:numId w:val="0"/>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6、配备机柜专用电源。</w:t>
            </w:r>
          </w:p>
        </w:tc>
        <w:tc>
          <w:tcPr>
            <w:tcW w:w="82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01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个</w:t>
            </w:r>
          </w:p>
        </w:tc>
        <w:tc>
          <w:tcPr>
            <w:tcW w:w="1350"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sz w:val="24"/>
                <w:szCs w:val="24"/>
              </w:rPr>
            </w:pPr>
          </w:p>
        </w:tc>
        <w:tc>
          <w:tcPr>
            <w:tcW w:w="1536" w:type="dxa"/>
            <w:tcBorders>
              <w:top w:val="single" w:color="auto" w:sz="4" w:space="0"/>
              <w:left w:val="single" w:color="auto" w:sz="4" w:space="0"/>
              <w:right w:val="single" w:color="auto" w:sz="4" w:space="0"/>
            </w:tcBorders>
            <w:noWrap w:val="0"/>
            <w:vAlign w:val="center"/>
          </w:tcPr>
          <w:p>
            <w:pPr>
              <w:tabs>
                <w:tab w:val="left" w:pos="15750"/>
              </w:tabs>
              <w:spacing w:beforeLines="0" w:afterLines="0"/>
              <w:ind w:left="0" w:leftChars="0" w:right="0" w:rightChars="0"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7</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壁挂式视频展台</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i w:val="0"/>
                <w:iCs w:val="0"/>
                <w:color w:val="000000"/>
                <w:kern w:val="0"/>
                <w:sz w:val="24"/>
                <w:szCs w:val="24"/>
                <w:highlight w:val="none"/>
                <w:u w:val="none"/>
                <w:lang w:val="en-US" w:eastAsia="zh-CN" w:bidi="ar"/>
              </w:rPr>
              <w:t>一、硬件要求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1、采用≥800万像素摄像头；采用 USB五伏电源直接供电，无需额外配置电源适配器，环保无辐射；箱内USB连线采用隐藏式设计，箱内无可见连线且USB口下出，有效防止积尘，且方便布线和返修。</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2、A4大小拍摄幅面，1080P动态视频预览达到30帧/秒；托板及挂墙部分采用金属加强，托板可承重3kg，整机壁挂式安装。</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3、支持展台成像画面实时批注，预设多种笔划粗细及颜色供选择，且支持对展台成像画面联同批注内容进行同步缩放、移动。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4、展示托板正上方具备LED补光灯，保证展示区域的亮度及展示效果，补光灯开关采用触摸按键设计，同时可通过交互智能平板中的软件直接控制开关；带自动对焦摄像头。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5、具有故障自动检测功能：在调用展台却无法出现镜头采集画面信号时，可自动出现检测链接，并给出导致性原因（如硬件连接、摄像头占用、配套软件版本等问题）。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二、软件要求</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1、支持对展台画面进行放大、缩小、旋转、自适应、冻结画面等操作。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2、支持展台画面实时批注，预设多种笔划粗细及颜色供选择，且支持对展台画面联同批注内容进行同步缩放、移动。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3、支持展台画面拍照截图并进行多图预览，可对任一图片进行全屏显示。</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4、老师可在一体机或电脑上选择延时拍照功能，支持5秒或10秒延时模式，预留充足时间以便调整拍摄内容。</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5、具备图像增强功能，可自动裁剪背景并增强文字显示，使文档画面更清晰。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可选择图像、文本或动态等多种情景模式，适应不同展示内容。支持故障自动检测，在软件无法出现展台拍摄画面时，自动出现检测链接，帮助用户检测无画面的原因，并给出引导性解决方案。可判断硬件连接、显卡驱动、摄像头占用、软件版本等问题。</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7、支持二维码扫码功能：打开扫一扫功能后，将书本上的二维码放入扫描框内即可自动扫描，并进入系统浏览器获取二维码的链接内容，帮助老师快速获取电子教学资源。</w:t>
            </w:r>
          </w:p>
        </w:tc>
        <w:tc>
          <w:tcPr>
            <w:tcW w:w="82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01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台</w:t>
            </w:r>
          </w:p>
        </w:tc>
        <w:tc>
          <w:tcPr>
            <w:tcW w:w="1350"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sz w:val="24"/>
                <w:szCs w:val="24"/>
              </w:rPr>
            </w:pPr>
          </w:p>
        </w:tc>
        <w:tc>
          <w:tcPr>
            <w:tcW w:w="1536" w:type="dxa"/>
            <w:tcBorders>
              <w:top w:val="single" w:color="auto" w:sz="4" w:space="0"/>
              <w:left w:val="single" w:color="auto" w:sz="4" w:space="0"/>
              <w:right w:val="single" w:color="auto" w:sz="4" w:space="0"/>
            </w:tcBorders>
            <w:noWrap w:val="0"/>
            <w:vAlign w:val="center"/>
          </w:tcPr>
          <w:p>
            <w:pPr>
              <w:tabs>
                <w:tab w:val="left" w:pos="15750"/>
              </w:tabs>
              <w:spacing w:beforeLines="0" w:afterLines="0"/>
              <w:ind w:left="0" w:leftChars="0" w:right="0" w:rightChars="0"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lang w:val="en-US" w:eastAsia="zh-CN"/>
              </w:rPr>
            </w:pPr>
            <w:r>
              <w:rPr>
                <w:rFonts w:hint="eastAsia" w:ascii="宋体" w:hAnsi="宋体" w:cs="宋体"/>
                <w:color w:val="000000"/>
                <w:sz w:val="24"/>
                <w:szCs w:val="24"/>
                <w:lang w:val="en-US" w:eastAsia="zh-CN"/>
              </w:rPr>
              <w:t>8</w:t>
            </w:r>
          </w:p>
        </w:tc>
        <w:tc>
          <w:tcPr>
            <w:tcW w:w="1127" w:type="dxa"/>
            <w:tcBorders>
              <w:top w:val="single" w:color="auto" w:sz="4" w:space="0"/>
              <w:left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sz w:val="24"/>
                <w:szCs w:val="24"/>
              </w:rPr>
              <w:t>配套音箱</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一、音响</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1.采用功放与有源音箱一体化设计，内置麦克风无线接收模块，帮助教师实现多媒体扩音以及本地扩声功能。</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2.输出额定功率≥ 2x15W。</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3.音箱灵敏度≥85dB，1W/1M。</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4.信噪比≥80dB@额定功率、A计权。</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5.全频喇叭单元尺寸≥5英寸。</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6.THD+N≤1%。</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7.声频响110Hz-16kHz。</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8.距离音箱10米处声压级≥75dB。</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9.具备≥1路电源开关、1路LINE IN、1路USB 接口。USB接口可外接U盘设备对音箱固件进行升级。</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10.★支持无线麦克风扩音接收，采用Wi-Fi射频2.4GHz与 5GHz双频段传输，有效避免环境中运营商U段（700MHz）的信号干扰。</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11.采用红外对码方式，避免连接到其他教室音箱。可快速完成与教学扩声麦克风对码，无需繁琐操作。</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12.配置独立音频数字信号处理芯片，支持啸叫抑制功能。</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13.支持蓝牙无线接收，可分享移动设备上的音频。支持密码模式，防止学生连接。</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14.★支持安卓手机通过蓝牙无线连接音箱，实现控制有源音箱的音量、设置蓝牙名称、设置蓝牙密码等功能，方便教师对音箱的管控。</w:t>
            </w:r>
          </w:p>
          <w:p>
            <w:pP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15.★支持交互智能平板显示设备通过蓝牙无线连接音箱，实现控制有源音箱的音量的功能。</w:t>
            </w:r>
          </w:p>
          <w:p>
            <w:pPr>
              <w:keepNext w:val="0"/>
              <w:keepLines w:val="0"/>
              <w:widowControl/>
              <w:suppressLineNumbers w:val="0"/>
              <w:jc w:val="left"/>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16.主音箱与副音箱采用有线连接，音箱采用木质材质，保证声音还原度。</w:t>
            </w:r>
          </w:p>
          <w:p>
            <w:pPr>
              <w:keepNext w:val="0"/>
              <w:keepLines w:val="0"/>
              <w:widowControl/>
              <w:suppressLineNumbers w:val="0"/>
              <w:jc w:val="left"/>
              <w:textAlignment w:val="center"/>
              <w:rPr>
                <w:rFonts w:hint="eastAsia" w:ascii="宋体" w:hAnsi="宋体" w:eastAsia="宋体" w:cs="宋体"/>
                <w:b w:val="0"/>
                <w:bCs w:val="0"/>
                <w:kern w:val="2"/>
                <w:sz w:val="24"/>
                <w:szCs w:val="24"/>
                <w:highlight w:val="none"/>
                <w:lang w:val="en-US" w:eastAsia="zh-CN" w:bidi="ar-SA"/>
              </w:rPr>
            </w:pPr>
            <w:r>
              <w:rPr>
                <w:rFonts w:hint="eastAsia" w:ascii="宋体" w:hAnsi="宋体" w:eastAsia="宋体" w:cs="宋体"/>
                <w:b w:val="0"/>
                <w:bCs w:val="0"/>
                <w:kern w:val="2"/>
                <w:sz w:val="24"/>
                <w:szCs w:val="24"/>
                <w:highlight w:val="none"/>
                <w:lang w:val="en-US" w:eastAsia="zh-CN" w:bidi="ar-SA"/>
              </w:rPr>
              <w:t>二、无线麦克风</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r>
              <w:rPr>
                <w:rFonts w:hint="eastAsia" w:ascii="宋体" w:hAnsi="宋体" w:eastAsia="宋体" w:cs="宋体"/>
                <w:i w:val="0"/>
                <w:iCs w:val="0"/>
                <w:color w:val="000000"/>
                <w:kern w:val="0"/>
                <w:sz w:val="24"/>
                <w:szCs w:val="24"/>
                <w:highlight w:val="none"/>
                <w:u w:val="none"/>
                <w:lang w:val="en-US" w:eastAsia="zh-CN" w:bidi="ar"/>
              </w:rPr>
              <w:t>1.无线麦克风集音频发射处理器、天线、电池、拾音麦克风于一体，配合一体化有源音箱，无需任何外接辅助设备即可实现本地扩声功能。</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2.采样率≥48KHz，16bit；扩音增益≥15dB；声频响100Hz-16kHz，底噪≤100uVrms，声信噪比≥60dB；配合一体化有源音箱，扩音延时≤35ms。</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3.★用Wi-Fi射频频段传输，有效避免环境中运营商U段（700MHz）信号干扰。</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4.★支持2.4GHz与5G双频段工作，信道数量≥26个。</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5.电续航时间≥5小时，满电状态可满足一天内7节课（45分钟/一节课）的高频授课，充电10分钟满足一节课（45分钟/一节课）授课时间。</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6.采用红外对码方式连接，避免连接到其他教室音箱。可在5S内快速完成与教学扩声音箱对码，无需繁琐操作。</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7.支持两个无线麦克风同时配对一个一体化有源音箱使用，实现两个麦克风混音输出进行扩音。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8.★具备Type-c外置麦克风接口，与充电接口复用。可搭配Type-C接口的麦克风进行使用，比如头戴式、挂耳式的外置麦克风。</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9.空旷无干扰的环境，无线传输有效距离≥15 米。</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10.一体化领夹设计，无需额外配件便可实现麦克风的领夹式使用。</w:t>
            </w:r>
            <w:r>
              <w:rPr>
                <w:rFonts w:hint="eastAsia" w:ascii="宋体" w:hAnsi="宋体" w:eastAsia="宋体" w:cs="宋体"/>
                <w:i w:val="0"/>
                <w:iCs w:val="0"/>
                <w:color w:val="000000"/>
                <w:kern w:val="0"/>
                <w:sz w:val="24"/>
                <w:szCs w:val="24"/>
                <w:highlight w:val="none"/>
                <w:u w:val="none"/>
                <w:lang w:val="en-US" w:eastAsia="zh-CN" w:bidi="ar"/>
              </w:rPr>
              <w:br w:type="textWrapping"/>
            </w:r>
            <w:r>
              <w:rPr>
                <w:rFonts w:hint="eastAsia" w:ascii="宋体" w:hAnsi="宋体" w:eastAsia="宋体" w:cs="宋体"/>
                <w:i w:val="0"/>
                <w:iCs w:val="0"/>
                <w:color w:val="000000"/>
                <w:kern w:val="0"/>
                <w:sz w:val="24"/>
                <w:szCs w:val="24"/>
                <w:highlight w:val="none"/>
                <w:u w:val="none"/>
                <w:lang w:val="en-US" w:eastAsia="zh-CN" w:bidi="ar"/>
              </w:rPr>
              <w:t>11.外壳防火等级≥V1。</w:t>
            </w:r>
          </w:p>
          <w:p>
            <w:pPr>
              <w:keepNext w:val="0"/>
              <w:keepLines w:val="0"/>
              <w:widowControl/>
              <w:suppressLineNumbers w:val="0"/>
              <w:jc w:val="left"/>
              <w:textAlignment w:val="center"/>
              <w:rPr>
                <w:rFonts w:hint="eastAsia" w:ascii="宋体" w:hAnsi="宋体" w:eastAsia="宋体" w:cs="宋体"/>
                <w:i w:val="0"/>
                <w:iCs w:val="0"/>
                <w:color w:val="000000"/>
                <w:kern w:val="0"/>
                <w:sz w:val="24"/>
                <w:szCs w:val="24"/>
                <w:highlight w:val="none"/>
                <w:u w:val="none"/>
                <w:lang w:val="en-US" w:eastAsia="zh-CN" w:bidi="ar"/>
              </w:rPr>
            </w:pPr>
          </w:p>
        </w:tc>
        <w:tc>
          <w:tcPr>
            <w:tcW w:w="825"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018"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c>
          <w:tcPr>
            <w:tcW w:w="1350" w:type="dxa"/>
            <w:tcBorders>
              <w:top w:val="single" w:color="auto" w:sz="4" w:space="0"/>
              <w:left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sz w:val="24"/>
                <w:szCs w:val="24"/>
              </w:rPr>
            </w:pPr>
          </w:p>
        </w:tc>
        <w:tc>
          <w:tcPr>
            <w:tcW w:w="1536" w:type="dxa"/>
            <w:tcBorders>
              <w:top w:val="single" w:color="auto" w:sz="4" w:space="0"/>
              <w:left w:val="single" w:color="auto" w:sz="4" w:space="0"/>
              <w:right w:val="single" w:color="auto" w:sz="4" w:space="0"/>
            </w:tcBorders>
            <w:noWrap w:val="0"/>
            <w:vAlign w:val="center"/>
          </w:tcPr>
          <w:p>
            <w:pPr>
              <w:tabs>
                <w:tab w:val="left" w:pos="15750"/>
              </w:tabs>
              <w:spacing w:beforeLines="0" w:afterLines="0"/>
              <w:ind w:left="0" w:leftChars="0" w:right="0" w:rightChars="0"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576"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sz w:val="24"/>
                <w:szCs w:val="24"/>
                <w:highlight w:val="none"/>
                <w:lang w:val="en-US" w:eastAsia="zh-CN"/>
              </w:rPr>
            </w:pPr>
            <w:r>
              <w:rPr>
                <w:rFonts w:hint="eastAsia" w:ascii="宋体" w:hAnsi="宋体" w:cs="宋体"/>
                <w:color w:val="000000"/>
                <w:sz w:val="24"/>
                <w:szCs w:val="24"/>
                <w:highlight w:val="none"/>
                <w:lang w:val="en-US" w:eastAsia="zh-CN"/>
              </w:rPr>
              <w:t>9</w:t>
            </w:r>
          </w:p>
        </w:tc>
        <w:tc>
          <w:tcPr>
            <w:tcW w:w="1127"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jc w:val="center"/>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sz w:val="24"/>
                <w:szCs w:val="24"/>
                <w:highlight w:val="none"/>
              </w:rPr>
              <w:t>推拉黑板</w:t>
            </w:r>
          </w:p>
        </w:tc>
        <w:tc>
          <w:tcPr>
            <w:tcW w:w="3679"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结构：推拉板由大框及四块同等大小的书写板组装而成，书写板分内外双层结构，内层为两块固定书写板与液晶一体机正面平齐，外层为两块滑动书写板，开闭自如确保液晶一体机的安全管理。（中标人提供图样，经使用人同意后方可实施）</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2、基本尺寸：≥4300mm×1300mm，可根据所配电子产品适当调整，确保与电子产品的有效配套。</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3、书写板面：采用280℃高温烤漆板面，具体面板颜色根据使用人要求定、亚光，厚度≥0.32mm，漆膜硬度6H，粗糙度Ra1.6-3.2um，光泽度≤6﹪，没有明显眩光，板面表面附有一层透明保护膜，符合GB/T 28231-2011《书写板安全卫生要求》（中标人提供图样，经使用人同意后方可实施）。</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4、内芯材料：高强度、吸音、聚苯乙烯泡沫板，采用国际适用工艺，书写无吱咔声，改善书写手感。</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5、背板：采用优质防锈热镀锌钢板。</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6、板面与衬板粘贴：采用环保型双组份聚氨酯胶水1:1配置，使用自动化覆板流水线作业，喷胶、压固、切割下料一次成型，确保粘接牢固板面平整。</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7、边框：采用工业用高强度铝合金型材，电泳香槟色，模具挤压一次成型，上框规格57mm×100mm，左右框规格29mm×100mm，横（立）框采用双层加强结构，厚度≥15mm。轨道上置隐藏式平滑轮滑道，结构性解决滑轮受粉尘影响的情况，配有宽度≥30mm的粉尘槽，粉尘槽与滑动系统分离，与边框一次模具成形，防止粉尘垂直落地。</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8、包角材料：采用抗老化高强度ABS工程塑料注塑成型。规格：100mm×29mm×29mm，采用双壁成腔流线型设计，≥R25mm的圆角，无尖角毛刺，符合JY0001-2003《教学仪器设备产品一般质量要求》。</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9、黑板滑轮：上轨采用减震消音双组吊轮，滑轮使用高精度轴承，下轨采用双组滑块，保证滑动流畅、噪音小、前后定位精确不晃动、滑动板前后晃动小于0.5mm，经久耐用。数目各4组，上下均匀安装，推拉顺畅自如，无卡挤现象和尖锐的摩擦声，稳定性好。</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10、除尘装置：外下框两侧各开一个直径25mm的圆孔，配置100*80mm的抽拉式粉尘盒，粉尘盒可拆卸清洁。</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11、限位档：黑板边框内部两侧安装滑动板限位档，防止活动黑板开启时撞击立框。</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12、易维护性：一体机上下配同色同质书写板，上下可根据一体机尺寸进行微调，两侧用H型边框与固定板配合，可自由拆装。使一体机不用拆整个黑板即可直接拆装维护，减少麻烦，延长使用寿命。</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13、安全性：一把锁实现对滑动黑板的锁定，钥匙通用，方便实用。</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14、根据所选黑板，提供书写耗材一套：</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（1）不同颜色的水溶性粉笔各一盒，盒装≥20支/盒；专用笔套≥2支；清洗装置≥1套，专用板擦≥1个。</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或者</w:t>
            </w:r>
          </w:p>
          <w:p>
            <w:pPr>
              <w:keepNext w:val="0"/>
              <w:keepLines w:val="0"/>
              <w:widowControl/>
              <w:suppressLineNumbers w:val="0"/>
              <w:jc w:val="left"/>
              <w:textAlignment w:val="center"/>
              <w:rPr>
                <w:rFonts w:hint="eastAsia" w:ascii="宋体" w:hAnsi="宋体" w:eastAsia="宋体" w:cs="宋体"/>
                <w:i w:val="0"/>
                <w:iCs w:val="0"/>
                <w:color w:val="000000"/>
                <w:kern w:val="2"/>
                <w:sz w:val="24"/>
                <w:szCs w:val="24"/>
                <w:highlight w:val="none"/>
                <w:u w:val="none"/>
                <w:lang w:val="en-US" w:eastAsia="zh-CN" w:bidi="ar-SA"/>
              </w:rPr>
            </w:pPr>
            <w:r>
              <w:rPr>
                <w:rFonts w:hint="eastAsia" w:ascii="宋体" w:hAnsi="宋体" w:eastAsia="宋体" w:cs="宋体"/>
                <w:color w:val="000000"/>
                <w:sz w:val="24"/>
                <w:szCs w:val="24"/>
                <w:highlight w:val="none"/>
              </w:rPr>
              <w:t>（2）新型成膜墨水笔≥3支（红色蓝色黑色各1支）；环保墨水≥3瓶（红色蓝色黑色各1瓶），墨水容量每瓶100ml；板擦≥1个；黑板专用清洁毛巾 ≥1条。</w:t>
            </w:r>
          </w:p>
        </w:tc>
        <w:tc>
          <w:tcPr>
            <w:tcW w:w="825"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1</w:t>
            </w:r>
          </w:p>
        </w:tc>
        <w:tc>
          <w:tcPr>
            <w:tcW w:w="1018"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套</w:t>
            </w:r>
          </w:p>
        </w:tc>
        <w:tc>
          <w:tcPr>
            <w:tcW w:w="1350" w:type="dxa"/>
            <w:tcBorders>
              <w:top w:val="single" w:color="auto" w:sz="4" w:space="0"/>
              <w:left w:val="single" w:color="auto" w:sz="4" w:space="0"/>
              <w:bottom w:val="single" w:color="auto" w:sz="4" w:space="0"/>
              <w:right w:val="single" w:color="auto" w:sz="4" w:space="0"/>
            </w:tcBorders>
            <w:noWrap w:val="0"/>
            <w:vAlign w:val="center"/>
          </w:tcPr>
          <w:p>
            <w:pPr>
              <w:spacing w:beforeLines="0" w:afterLines="0"/>
              <w:ind w:left="0" w:leftChars="0" w:right="0" w:rightChars="0" w:firstLine="0" w:firstLineChars="0"/>
              <w:jc w:val="center"/>
              <w:rPr>
                <w:rFonts w:hint="eastAsia" w:ascii="宋体" w:hAnsi="宋体" w:eastAsia="宋体" w:cs="宋体"/>
                <w:color w:val="auto"/>
                <w:sz w:val="24"/>
                <w:szCs w:val="24"/>
              </w:rPr>
            </w:pPr>
          </w:p>
        </w:tc>
        <w:tc>
          <w:tcPr>
            <w:tcW w:w="1536" w:type="dxa"/>
            <w:tcBorders>
              <w:top w:val="single" w:color="auto" w:sz="4" w:space="0"/>
              <w:left w:val="single" w:color="auto" w:sz="4" w:space="0"/>
              <w:bottom w:val="single" w:color="auto" w:sz="4" w:space="0"/>
              <w:right w:val="single" w:color="auto" w:sz="4" w:space="0"/>
            </w:tcBorders>
            <w:noWrap w:val="0"/>
            <w:vAlign w:val="center"/>
          </w:tcPr>
          <w:p>
            <w:pPr>
              <w:tabs>
                <w:tab w:val="left" w:pos="15750"/>
              </w:tabs>
              <w:spacing w:beforeLines="0" w:afterLines="0"/>
              <w:ind w:left="0" w:leftChars="0" w:right="0" w:rightChars="0" w:firstLine="0" w:firstLineChars="0"/>
              <w:jc w:val="center"/>
              <w:rPr>
                <w:rFonts w:hint="eastAsia" w:ascii="宋体" w:hAnsi="宋体" w:eastAsia="宋体" w:cs="宋体"/>
                <w:color w:val="auto"/>
                <w:sz w:val="24"/>
                <w:szCs w:val="24"/>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111"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ascii="宋体" w:hAnsi="宋体" w:cs="宋体"/>
                <w:kern w:val="0"/>
                <w:sz w:val="24"/>
              </w:rPr>
            </w:pPr>
            <w:r>
              <w:rPr>
                <w:rFonts w:hint="eastAsia" w:ascii="宋体" w:hAnsi="宋体" w:cs="宋体"/>
                <w:kern w:val="0"/>
                <w:sz w:val="24"/>
              </w:rPr>
              <w:t>质保期、交货时间、服务地点、售后服务和维保响应时间：</w:t>
            </w:r>
          </w:p>
          <w:p>
            <w:pPr>
              <w:widowControl/>
              <w:jc w:val="center"/>
              <w:rPr>
                <w:rFonts w:hint="eastAsia" w:ascii="宋体" w:hAnsi="宋体" w:cs="宋体"/>
                <w:kern w:val="0"/>
                <w:sz w:val="24"/>
              </w:rPr>
            </w:pPr>
          </w:p>
          <w:p>
            <w:pPr>
              <w:pStyle w:val="2"/>
              <w:rPr>
                <w:rFonts w:hint="eastAsia" w:ascii="宋体" w:hAnsi="宋体" w:cs="宋体"/>
                <w:kern w:val="0"/>
                <w:sz w:val="24"/>
              </w:rPr>
            </w:pPr>
          </w:p>
          <w:p>
            <w:pPr>
              <w:rPr>
                <w:rFonts w:hint="eastAsia"/>
              </w:rPr>
            </w:pPr>
          </w:p>
          <w:p>
            <w:pPr>
              <w:widowControl/>
              <w:jc w:val="both"/>
              <w:rPr>
                <w:rFonts w:hint="eastAsia" w:ascii="宋体" w:hAnsi="宋体" w:cs="宋体"/>
                <w:kern w:val="0"/>
                <w:sz w:val="24"/>
              </w:rPr>
            </w:pPr>
            <w:r>
              <w:rPr>
                <w:rFonts w:hint="eastAsia" w:ascii="宋体" w:hAnsi="宋体" w:cs="宋体"/>
                <w:kern w:val="0"/>
                <w:sz w:val="24"/>
              </w:rPr>
              <w:t>报价金额： 人民币（大写）：               人民币（小写）：</w:t>
            </w:r>
          </w:p>
          <w:p>
            <w:pPr>
              <w:widowControl/>
              <w:jc w:val="center"/>
              <w:rPr>
                <w:rFonts w:hint="eastAsia" w:ascii="宋体" w:hAnsi="宋体" w:cs="宋体"/>
                <w:kern w:val="0"/>
                <w:sz w:val="24"/>
              </w:rPr>
            </w:pPr>
          </w:p>
          <w:p>
            <w:pPr>
              <w:widowControl/>
              <w:jc w:val="both"/>
              <w:rPr>
                <w:rFonts w:hint="eastAsia" w:ascii="宋体" w:hAnsi="宋体" w:cs="宋体"/>
                <w:kern w:val="0"/>
                <w:sz w:val="24"/>
              </w:rPr>
            </w:pPr>
            <w:r>
              <w:rPr>
                <w:rFonts w:hint="eastAsia" w:ascii="宋体" w:hAnsi="宋体" w:cs="宋体"/>
                <w:kern w:val="0"/>
                <w:sz w:val="24"/>
              </w:rPr>
              <w:t>注:</w:t>
            </w:r>
          </w:p>
          <w:p>
            <w:pPr>
              <w:widowControl/>
              <w:jc w:val="both"/>
              <w:rPr>
                <w:rFonts w:hint="eastAsia" w:ascii="宋体" w:hAnsi="宋体" w:cs="宋体"/>
                <w:kern w:val="0"/>
                <w:sz w:val="24"/>
              </w:rPr>
            </w:pPr>
            <w:r>
              <w:rPr>
                <w:rFonts w:hint="eastAsia" w:ascii="宋体" w:hAnsi="宋体" w:cs="宋体"/>
                <w:kern w:val="0"/>
                <w:sz w:val="24"/>
              </w:rPr>
              <w:t>1、报价一经涂改，应在涂改处加盖单位公章，否则其报价作无效标处理。</w:t>
            </w:r>
          </w:p>
          <w:p>
            <w:pPr>
              <w:widowControl/>
              <w:jc w:val="left"/>
              <w:rPr>
                <w:rFonts w:hint="eastAsia" w:ascii="宋体" w:hAnsi="宋体" w:cs="宋体"/>
                <w:kern w:val="0"/>
                <w:sz w:val="24"/>
              </w:rPr>
            </w:pPr>
            <w:r>
              <w:rPr>
                <w:rFonts w:hint="eastAsia" w:ascii="宋体" w:hAnsi="宋体" w:cs="宋体"/>
                <w:kern w:val="0"/>
                <w:sz w:val="24"/>
              </w:rPr>
              <w:t>2、密封报价包括项目实施所需的材料费、设备费、人工费、服务费、运输费、安装调试费、税费及其他一切费用。</w:t>
            </w:r>
          </w:p>
          <w:p>
            <w:pPr>
              <w:tabs>
                <w:tab w:val="left" w:pos="15750"/>
              </w:tabs>
              <w:spacing w:beforeLines="0" w:afterLines="0"/>
              <w:ind w:left="0" w:leftChars="0" w:right="0" w:rightChars="0" w:firstLine="0" w:firstLineChars="0"/>
              <w:jc w:val="both"/>
              <w:rPr>
                <w:rFonts w:hint="eastAsia" w:ascii="宋体" w:hAnsi="宋体" w:cs="宋体"/>
                <w:kern w:val="0"/>
                <w:sz w:val="24"/>
              </w:rPr>
            </w:pPr>
            <w:r>
              <w:rPr>
                <w:rFonts w:hint="eastAsia" w:ascii="宋体" w:hAnsi="宋体" w:cs="宋体"/>
                <w:kern w:val="0"/>
                <w:sz w:val="24"/>
              </w:rPr>
              <w:t>3、请把上述的报价材料密封好，并在密封袋上注明报价人名称、联系人及电话</w:t>
            </w:r>
          </w:p>
          <w:p>
            <w:pPr>
              <w:tabs>
                <w:tab w:val="left" w:pos="15750"/>
              </w:tabs>
              <w:spacing w:beforeLines="0" w:afterLines="0"/>
              <w:ind w:left="0" w:leftChars="0" w:right="0" w:rightChars="0" w:firstLine="0" w:firstLineChars="0"/>
              <w:jc w:val="both"/>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4、为满足产品性能质量符合使用需求，报价时以下产品必须提供证明文件，否则报价无效。</w:t>
            </w:r>
          </w:p>
          <w:p>
            <w:pPr>
              <w:tabs>
                <w:tab w:val="left" w:pos="15750"/>
              </w:tabs>
              <w:spacing w:beforeLines="0" w:afterLines="0"/>
              <w:ind w:left="0" w:leftChars="0" w:right="0" w:rightChars="0" w:firstLine="0" w:firstLineChars="0"/>
              <w:jc w:val="both"/>
              <w:rPr>
                <w:rFonts w:hint="eastAsia" w:ascii="宋体" w:hAnsi="宋体" w:cs="宋体"/>
                <w:kern w:val="0"/>
                <w:sz w:val="24"/>
                <w:highlight w:val="none"/>
                <w:lang w:val="en-US" w:eastAsia="zh-CN"/>
              </w:rPr>
            </w:pPr>
            <w:r>
              <w:rPr>
                <w:rFonts w:hint="eastAsia" w:ascii="宋体" w:hAnsi="宋体" w:cs="宋体"/>
                <w:kern w:val="0"/>
                <w:sz w:val="24"/>
                <w:highlight w:val="none"/>
                <w:lang w:val="en-US" w:eastAsia="zh-CN"/>
              </w:rPr>
              <w:t>（1）序号2【</w:t>
            </w:r>
            <w:r>
              <w:rPr>
                <w:rFonts w:hint="eastAsia" w:ascii="宋体" w:hAnsi="宋体" w:cs="宋体"/>
                <w:kern w:val="0"/>
                <w:sz w:val="24"/>
                <w:highlight w:val="none"/>
              </w:rPr>
              <w:t>终端接入授权</w:t>
            </w:r>
            <w:r>
              <w:rPr>
                <w:rFonts w:hint="eastAsia" w:ascii="宋体" w:hAnsi="宋体" w:cs="宋体"/>
                <w:kern w:val="0"/>
                <w:sz w:val="24"/>
                <w:highlight w:val="none"/>
                <w:lang w:val="en-US" w:eastAsia="zh-CN"/>
              </w:rPr>
              <w:t>】按性能参数要求提供证明文件；</w:t>
            </w:r>
          </w:p>
          <w:p>
            <w:pPr>
              <w:tabs>
                <w:tab w:val="left" w:pos="15750"/>
              </w:tabs>
              <w:spacing w:beforeLines="0" w:afterLines="0"/>
              <w:ind w:left="0" w:leftChars="0" w:right="0" w:rightChars="0" w:firstLine="0" w:firstLineChars="0"/>
              <w:jc w:val="both"/>
              <w:rPr>
                <w:rFonts w:hint="default"/>
                <w:lang w:val="en-US" w:eastAsia="zh-CN"/>
              </w:rPr>
            </w:pPr>
            <w:r>
              <w:rPr>
                <w:rFonts w:hint="eastAsia" w:ascii="宋体" w:hAnsi="宋体" w:cs="宋体"/>
                <w:kern w:val="0"/>
                <w:sz w:val="24"/>
                <w:highlight w:val="none"/>
                <w:lang w:val="en-US" w:eastAsia="zh-CN"/>
              </w:rPr>
              <w:t>（2）序号3【</w:t>
            </w:r>
            <w:r>
              <w:rPr>
                <w:rFonts w:hint="eastAsia" w:ascii="宋体" w:hAnsi="宋体" w:cs="宋体"/>
                <w:kern w:val="0"/>
                <w:sz w:val="24"/>
                <w:highlight w:val="none"/>
              </w:rPr>
              <w:t>终端交换机</w:t>
            </w:r>
            <w:r>
              <w:rPr>
                <w:rFonts w:hint="eastAsia" w:ascii="宋体" w:hAnsi="宋体" w:cs="宋体"/>
                <w:kern w:val="0"/>
                <w:sz w:val="24"/>
                <w:highlight w:val="none"/>
                <w:lang w:val="en-US" w:eastAsia="zh-CN"/>
              </w:rPr>
              <w:t>】性能参数第5、10、11、12、13、17、18、21点必须提供功能界面截图。</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10111" w:type="dxa"/>
            <w:gridSpan w:val="7"/>
            <w:tcBorders>
              <w:top w:val="single" w:color="auto" w:sz="4" w:space="0"/>
              <w:left w:val="single" w:color="auto" w:sz="4" w:space="0"/>
              <w:bottom w:val="single" w:color="auto" w:sz="4" w:space="0"/>
              <w:right w:val="single" w:color="auto" w:sz="4" w:space="0"/>
            </w:tcBorders>
            <w:noWrap w:val="0"/>
            <w:vAlign w:val="center"/>
          </w:tcPr>
          <w:p>
            <w:pPr>
              <w:widowControl/>
              <w:jc w:val="both"/>
              <w:rPr>
                <w:rFonts w:hint="eastAsia"/>
              </w:rPr>
            </w:pPr>
            <w:r>
              <w:rPr>
                <w:rFonts w:hint="eastAsia" w:ascii="宋体" w:hAnsi="宋体" w:cs="宋体"/>
                <w:kern w:val="0"/>
                <w:sz w:val="24"/>
              </w:rPr>
              <w:t>报价人名称（盖章）：</w:t>
            </w:r>
          </w:p>
          <w:p>
            <w:pPr>
              <w:widowControl/>
              <w:jc w:val="center"/>
              <w:rPr>
                <w:rFonts w:hint="eastAsia" w:ascii="宋体" w:hAnsi="宋体" w:cs="宋体"/>
                <w:kern w:val="0"/>
                <w:sz w:val="24"/>
              </w:rPr>
            </w:pPr>
          </w:p>
          <w:p>
            <w:pPr>
              <w:widowControl/>
              <w:jc w:val="both"/>
              <w:rPr>
                <w:rFonts w:hint="eastAsia" w:ascii="宋体" w:hAnsi="宋体" w:cs="宋体"/>
                <w:kern w:val="0"/>
                <w:sz w:val="24"/>
              </w:rPr>
            </w:pPr>
            <w:r>
              <w:rPr>
                <w:rFonts w:hint="eastAsia" w:ascii="宋体" w:hAnsi="宋体" w:cs="宋体"/>
                <w:kern w:val="0"/>
                <w:sz w:val="24"/>
              </w:rPr>
              <w:t>法定代表人或授权代表（签字或盖章）：</w:t>
            </w:r>
          </w:p>
          <w:p>
            <w:pPr>
              <w:widowControl/>
              <w:jc w:val="center"/>
              <w:rPr>
                <w:rFonts w:hint="eastAsia" w:ascii="宋体" w:hAnsi="宋体" w:cs="宋体"/>
                <w:kern w:val="0"/>
                <w:sz w:val="24"/>
              </w:rPr>
            </w:pPr>
          </w:p>
          <w:p>
            <w:pPr>
              <w:pStyle w:val="2"/>
              <w:rPr>
                <w:rFonts w:hint="eastAsia"/>
              </w:rPr>
            </w:pPr>
          </w:p>
          <w:p>
            <w:pPr>
              <w:widowControl/>
              <w:jc w:val="both"/>
              <w:rPr>
                <w:rFonts w:hint="eastAsia" w:ascii="宋体" w:hAnsi="宋体" w:cs="宋体"/>
                <w:kern w:val="0"/>
                <w:sz w:val="24"/>
              </w:rPr>
            </w:pPr>
            <w:r>
              <w:rPr>
                <w:rFonts w:hint="eastAsia" w:ascii="宋体" w:hAnsi="宋体" w:cs="宋体"/>
                <w:kern w:val="0"/>
                <w:sz w:val="24"/>
              </w:rPr>
              <w:t>联系人:</w:t>
            </w:r>
          </w:p>
          <w:p>
            <w:pPr>
              <w:widowControl/>
              <w:jc w:val="center"/>
              <w:rPr>
                <w:rFonts w:hint="eastAsia" w:ascii="宋体" w:hAnsi="宋体" w:cs="宋体"/>
                <w:kern w:val="0"/>
                <w:sz w:val="24"/>
              </w:rPr>
            </w:pPr>
          </w:p>
          <w:p>
            <w:pPr>
              <w:widowControl/>
              <w:jc w:val="both"/>
              <w:rPr>
                <w:rFonts w:hint="eastAsia" w:ascii="宋体" w:hAnsi="宋体" w:cs="宋体"/>
                <w:kern w:val="0"/>
                <w:sz w:val="24"/>
              </w:rPr>
            </w:pPr>
            <w:r>
              <w:rPr>
                <w:rFonts w:hint="eastAsia" w:ascii="宋体" w:hAnsi="宋体" w:cs="宋体"/>
                <w:kern w:val="0"/>
                <w:sz w:val="24"/>
              </w:rPr>
              <w:t>手机号码：</w:t>
            </w:r>
          </w:p>
          <w:p>
            <w:pPr>
              <w:widowControl/>
              <w:jc w:val="center"/>
              <w:rPr>
                <w:rFonts w:hint="eastAsia" w:ascii="宋体" w:hAnsi="宋体" w:cs="宋体"/>
                <w:kern w:val="0"/>
                <w:sz w:val="24"/>
              </w:rPr>
            </w:pPr>
          </w:p>
          <w:p>
            <w:pPr>
              <w:widowControl/>
              <w:jc w:val="both"/>
              <w:rPr>
                <w:rFonts w:hint="eastAsia" w:ascii="宋体" w:hAnsi="宋体" w:cs="宋体"/>
                <w:kern w:val="0"/>
                <w:sz w:val="24"/>
              </w:rPr>
            </w:pPr>
            <w:r>
              <w:rPr>
                <w:rFonts w:hint="eastAsia" w:ascii="宋体" w:hAnsi="宋体" w:cs="宋体"/>
                <w:kern w:val="0"/>
                <w:sz w:val="24"/>
              </w:rPr>
              <w:t>办公室电话 ：</w:t>
            </w:r>
          </w:p>
          <w:p>
            <w:pPr>
              <w:widowControl/>
              <w:jc w:val="center"/>
              <w:rPr>
                <w:rFonts w:hint="eastAsia" w:ascii="宋体" w:hAnsi="宋体" w:cs="宋体"/>
                <w:kern w:val="0"/>
                <w:sz w:val="24"/>
              </w:rPr>
            </w:pPr>
          </w:p>
          <w:p>
            <w:pPr>
              <w:tabs>
                <w:tab w:val="left" w:pos="15750"/>
              </w:tabs>
              <w:spacing w:beforeLines="0" w:afterLines="0"/>
              <w:ind w:left="0" w:leftChars="0" w:right="0" w:rightChars="0" w:firstLine="0" w:firstLineChars="0"/>
              <w:jc w:val="left"/>
              <w:rPr>
                <w:rFonts w:hint="eastAsia" w:ascii="宋体" w:hAnsi="宋体" w:eastAsia="宋体" w:cs="宋体"/>
                <w:color w:val="auto"/>
                <w:sz w:val="24"/>
                <w:szCs w:val="24"/>
              </w:rPr>
            </w:pPr>
            <w:r>
              <w:rPr>
                <w:rFonts w:hint="eastAsia" w:ascii="宋体" w:hAnsi="宋体" w:cs="宋体"/>
                <w:kern w:val="0"/>
                <w:sz w:val="24"/>
              </w:rPr>
              <w:t>日期：</w:t>
            </w:r>
          </w:p>
        </w:tc>
      </w:tr>
    </w:tbl>
    <w:p/>
    <w:sectPr>
      <w:footerReference r:id="rId3" w:type="default"/>
      <w:pgSz w:w="11906" w:h="16838"/>
      <w:pgMar w:top="720" w:right="720" w:bottom="720" w:left="72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宋体-简">
    <w:altName w:val="宋体"/>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6</w:t>
                    </w:r>
                    <w:r>
                      <w:rPr>
                        <w:rFonts w:hint="eastAsia"/>
                        <w:lang w:eastAsia="zh-CN"/>
                      </w:rPr>
                      <w:fldChar w:fldCharType="end"/>
                    </w:r>
                    <w:r>
                      <w:rPr>
                        <w:rFonts w:hint="eastAsia"/>
                        <w:lang w:eastAsia="zh-CN"/>
                      </w:rPr>
                      <w:t xml:space="preserve"> 页</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A3MGZlMTI0ZTVhOWUwY2E5MTJhMDRkYTBjY2FiNzgifQ=="/>
  </w:docVars>
  <w:rsids>
    <w:rsidRoot w:val="00000000"/>
    <w:rsid w:val="05321DB4"/>
    <w:rsid w:val="07AF40C5"/>
    <w:rsid w:val="0EF37117"/>
    <w:rsid w:val="12AD05DB"/>
    <w:rsid w:val="1A097E40"/>
    <w:rsid w:val="21176C9D"/>
    <w:rsid w:val="2C9E5E93"/>
    <w:rsid w:val="347B7EF2"/>
    <w:rsid w:val="3A425AEA"/>
    <w:rsid w:val="3BEC315B"/>
    <w:rsid w:val="3F615291"/>
    <w:rsid w:val="404E5C3D"/>
    <w:rsid w:val="46193BC5"/>
    <w:rsid w:val="4B70124E"/>
    <w:rsid w:val="562779E2"/>
    <w:rsid w:val="5A4E2050"/>
    <w:rsid w:val="67544F11"/>
    <w:rsid w:val="68E92CAD"/>
    <w:rsid w:val="7F2477F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6"/>
    <w:basedOn w:val="1"/>
    <w:next w:val="1"/>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toc 1"/>
    <w:basedOn w:val="1"/>
    <w:next w:val="1"/>
    <w:qFormat/>
    <w:uiPriority w:val="39"/>
    <w:pPr>
      <w:tabs>
        <w:tab w:val="right" w:leader="dot" w:pos="8296"/>
        <w:tab w:val="right" w:leader="dot" w:pos="8398"/>
      </w:tabs>
      <w:spacing w:before="120" w:after="120" w:line="480" w:lineRule="auto"/>
      <w:ind w:firstLine="1415" w:firstLineChars="393"/>
      <w:jc w:val="left"/>
    </w:pPr>
    <w:rPr>
      <w:rFonts w:ascii="仿宋_GB2312" w:hAnsi="宋体" w:eastAsia="仿宋_GB2312" w:cs="Courier New"/>
      <w:bCs/>
      <w:caps/>
    </w:rPr>
  </w:style>
  <w:style w:type="paragraph" w:styleId="4">
    <w:name w:val="Body Text Indent"/>
    <w:basedOn w:val="1"/>
    <w:next w:val="5"/>
    <w:qFormat/>
    <w:uiPriority w:val="0"/>
    <w:pPr>
      <w:ind w:firstLine="830" w:firstLineChars="352"/>
    </w:pPr>
    <w:rPr>
      <w:rFonts w:ascii="仿宋_GB2312" w:hAnsi="Times New Roman" w:eastAsia="仿宋_GB2312"/>
      <w:kern w:val="0"/>
      <w:sz w:val="32"/>
      <w:szCs w:val="20"/>
    </w:rPr>
  </w:style>
  <w:style w:type="paragraph" w:styleId="5">
    <w:name w:val="envelope return"/>
    <w:basedOn w:val="1"/>
    <w:qFormat/>
    <w:uiPriority w:val="0"/>
    <w:pPr>
      <w:adjustRightInd w:val="0"/>
      <w:snapToGrid w:val="0"/>
      <w:spacing w:line="360" w:lineRule="atLeast"/>
      <w:ind w:firstLine="640" w:firstLineChars="200"/>
      <w:jc w:val="center"/>
    </w:pPr>
    <w:rPr>
      <w:rFonts w:ascii="Arial" w:hAnsi="Arial" w:eastAsia="宋体" w:cs="Times New Roman"/>
      <w:sz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paragraph" w:styleId="9">
    <w:name w:val="Body Text First Indent 2"/>
    <w:basedOn w:val="4"/>
    <w:qFormat/>
    <w:uiPriority w:val="99"/>
    <w:pPr>
      <w:adjustRightInd w:val="0"/>
      <w:snapToGrid w:val="0"/>
      <w:spacing w:line="360" w:lineRule="atLeast"/>
      <w:ind w:left="420" w:firstLine="420" w:firstLineChars="200"/>
      <w:jc w:val="center"/>
    </w:pPr>
    <w:rPr>
      <w:rFonts w:ascii="Times New Roman"/>
      <w:szCs w:val="24"/>
    </w:rPr>
  </w:style>
  <w:style w:type="table" w:styleId="11">
    <w:name w:val="Table Grid"/>
    <w:basedOn w:val="10"/>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3">
    <w:name w:val="font31"/>
    <w:basedOn w:val="12"/>
    <w:qFormat/>
    <w:uiPriority w:val="0"/>
    <w:rPr>
      <w:rFonts w:hint="eastAsia" w:ascii="微软雅黑" w:hAnsi="微软雅黑" w:eastAsia="微软雅黑" w:cs="微软雅黑"/>
      <w:color w:val="000000"/>
      <w:sz w:val="20"/>
      <w:szCs w:val="20"/>
      <w:u w:val="none"/>
    </w:rPr>
  </w:style>
  <w:style w:type="character" w:customStyle="1" w:styleId="14">
    <w:name w:val="font61"/>
    <w:basedOn w:val="12"/>
    <w:qFormat/>
    <w:uiPriority w:val="0"/>
    <w:rPr>
      <w:rFonts w:ascii="宋体-简" w:hAnsi="宋体-简" w:eastAsia="宋体-简" w:cs="宋体-简"/>
      <w:color w:val="000000"/>
      <w:sz w:val="20"/>
      <w:szCs w:val="20"/>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4256</Words>
  <Characters>4333</Characters>
  <Lines>0</Lines>
  <Paragraphs>0</Paragraphs>
  <TotalTime>4</TotalTime>
  <ScaleCrop>false</ScaleCrop>
  <LinksUpToDate>false</LinksUpToDate>
  <CharactersWithSpaces>4337</CharactersWithSpaces>
  <Application>WPS Office_12.1.0.15933_F1E327BC-269C-435d-A152-05C5408002CA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2023-10-26T17:21:00Z</dcterms:created>
  <dc:creator>曾</dc:creator>
  <cp:lastModifiedBy>鱼仔</cp:lastModifiedBy>
  <dcterms:modified xsi:type="dcterms:W3CDTF">2023-11-14T09:15:25Z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2052-12.1.0.15933</vt:lpwstr>
  </property>
  <property fmtid="{D5CDD505-2E9C-101B-9397-08002B2CF9AE}" pid="3" name="ICV">
    <vt:lpwstr>E42A779B8F054C44AAB94137F7C70F53_13</vt:lpwstr>
  </property>
</Properties>
</file>