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方正小标宋_GBK" w:hAnsi="方正小标宋_GBK" w:eastAsia="方正小标宋_GBK" w:cs="方正小标宋_GBK"/>
          <w:color w:val="000000"/>
          <w:sz w:val="21"/>
          <w:szCs w:val="21"/>
        </w:rPr>
      </w:pPr>
      <w:r>
        <w:rPr>
          <w:rFonts w:hint="eastAsia" w:ascii="方正小标宋_GBK" w:hAnsi="方正小标宋_GBK" w:eastAsia="方正小标宋_GBK" w:cs="方正小标宋_GBK"/>
          <w:color w:val="000000"/>
          <w:sz w:val="44"/>
          <w:szCs w:val="44"/>
        </w:rPr>
        <w:t>附件</w:t>
      </w:r>
      <w:r>
        <w:rPr>
          <w:rFonts w:hint="eastAsia" w:ascii="方正小标宋_GBK" w:hAnsi="方正小标宋_GBK" w:eastAsia="方正小标宋_GBK" w:cs="方正小标宋_GBK"/>
          <w:color w:val="000000"/>
          <w:sz w:val="44"/>
          <w:szCs w:val="44"/>
          <w:lang w:val="en-US" w:eastAsia="zh-CN"/>
        </w:rPr>
        <w:t>1</w:t>
      </w:r>
      <w:r>
        <w:rPr>
          <w:rFonts w:hint="eastAsia" w:ascii="方正小标宋_GBK" w:hAnsi="方正小标宋_GBK" w:eastAsia="方正小标宋_GBK" w:cs="方正小标宋_GBK"/>
          <w:color w:val="000000"/>
          <w:sz w:val="44"/>
          <w:szCs w:val="44"/>
        </w:rPr>
        <w:t>：广西物流职业技术学院无线扩音设备采购项目采购要求</w:t>
      </w:r>
    </w:p>
    <w:p>
      <w:pPr>
        <w:pStyle w:val="3"/>
        <w:numPr>
          <w:ilvl w:val="0"/>
          <w:numId w:val="1"/>
        </w:numPr>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lang w:val="en-US" w:eastAsia="zh-CN"/>
        </w:rPr>
        <w:t>需求参数</w:t>
      </w:r>
    </w:p>
    <w:tbl>
      <w:tblPr>
        <w:tblStyle w:val="10"/>
        <w:tblpPr w:leftFromText="180" w:rightFromText="180" w:vertAnchor="text" w:horzAnchor="page" w:tblpX="1170" w:tblpY="564"/>
        <w:tblOverlap w:val="never"/>
        <w:tblW w:w="90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134"/>
        <w:gridCol w:w="709"/>
        <w:gridCol w:w="851"/>
        <w:gridCol w:w="708"/>
        <w:gridCol w:w="709"/>
        <w:gridCol w:w="42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5" w:type="dxa"/>
            <w:tcBorders>
              <w:top w:val="single" w:color="auto" w:sz="4" w:space="0"/>
              <w:bottom w:val="single" w:color="auto" w:sz="4" w:space="0"/>
              <w:right w:val="single" w:color="auto" w:sz="4" w:space="0"/>
            </w:tcBorders>
            <w:vAlign w:val="center"/>
          </w:tcPr>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品牌</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型号</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w:t>
            </w:r>
          </w:p>
        </w:tc>
        <w:tc>
          <w:tcPr>
            <w:tcW w:w="4219" w:type="dxa"/>
            <w:tcBorders>
              <w:top w:val="single" w:color="auto" w:sz="4" w:space="0"/>
              <w:left w:val="single" w:color="auto" w:sz="4" w:space="0"/>
              <w:bottom w:val="single" w:color="auto" w:sz="4" w:space="0"/>
            </w:tcBorders>
            <w:vAlign w:val="center"/>
          </w:tcPr>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主要技术参数及性能（配置）要求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5" w:type="dxa"/>
            <w:tcBorders>
              <w:top w:val="single" w:color="auto" w:sz="4" w:space="0"/>
              <w:bottom w:val="single" w:color="auto" w:sz="4" w:space="0"/>
              <w:right w:val="single" w:color="auto" w:sz="4" w:space="0"/>
            </w:tcBorders>
            <w:vAlign w:val="center"/>
          </w:tcPr>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无线扩音话筒</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得胜</w:t>
            </w:r>
          </w:p>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（TAKSTAR） </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DA10S</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支</w:t>
            </w:r>
          </w:p>
        </w:tc>
        <w:tc>
          <w:tcPr>
            <w:tcW w:w="4219" w:type="dxa"/>
            <w:tcBorders>
              <w:top w:val="single" w:color="auto" w:sz="4" w:space="0"/>
              <w:left w:val="single" w:color="auto" w:sz="4" w:space="0"/>
              <w:bottom w:val="single" w:color="auto" w:sz="4" w:space="0"/>
            </w:tcBorders>
            <w:vAlign w:val="center"/>
          </w:tcPr>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主机参数：</w:t>
            </w:r>
          </w:p>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频率响应: 100Hz-15kHz 峰值功率:8W 扬声器阻抗:42</w:t>
            </w:r>
          </w:p>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总谐波失真: THD≤5% 1KHz@4R4W</w:t>
            </w:r>
          </w:p>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信噪比: 66dB (A-Weighted)@1W 42 (演讲模式)</w:t>
            </w:r>
          </w:p>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主芯片: DSP 蓝牙版本:5.0</w:t>
            </w:r>
          </w:p>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混响模式: Reverb</w:t>
            </w:r>
          </w:p>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工作电压:3.4V-4.2V</w:t>
            </w:r>
          </w:p>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电池类型:理离子电池(18650)</w:t>
            </w:r>
          </w:p>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电池容量:3.7V/2000mAh</w:t>
            </w:r>
          </w:p>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充电方式:DC5V/1.5A</w:t>
            </w:r>
          </w:p>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充电时间:约 3 小时</w:t>
            </w:r>
          </w:p>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使用时间:约 8 小时(演讲)</w:t>
            </w:r>
          </w:p>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产品重量:约 220g</w:t>
            </w:r>
          </w:p>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产品尺寸:中 64mm*235mm(直径*高)</w:t>
            </w:r>
          </w:p>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音头参数</w:t>
            </w:r>
          </w:p>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拾音器:背极式驻极体</w:t>
            </w:r>
          </w:p>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指向性:单指向</w:t>
            </w:r>
          </w:p>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频率响应:150HZ-16KHz 灵敏度:-47.5+1.5dB(OdB=1V/Pa ，at 1KHz)</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bottom w:val="single" w:color="auto" w:sz="4" w:space="0"/>
              <w:right w:val="single" w:color="auto" w:sz="4" w:space="0"/>
            </w:tcBorders>
            <w:vAlign w:val="center"/>
          </w:tcPr>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户外 15 英寸移动无线拉杆音箱</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先科</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A90</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台</w:t>
            </w:r>
          </w:p>
        </w:tc>
        <w:tc>
          <w:tcPr>
            <w:tcW w:w="4219" w:type="dxa"/>
            <w:tcBorders>
              <w:top w:val="single" w:color="auto" w:sz="4" w:space="0"/>
              <w:left w:val="single" w:color="auto" w:sz="4" w:space="0"/>
              <w:bottom w:val="single" w:color="auto" w:sz="4" w:space="0"/>
            </w:tcBorders>
            <w:vAlign w:val="center"/>
          </w:tcPr>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机身颜色:黑色</w:t>
            </w:r>
          </w:p>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支持读取: TF、U 盘</w:t>
            </w:r>
          </w:p>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 时重低音喇叭单元:8 时号角高音，内置蓝牙远程操控不断连，兼容多系统主流设备即插即播 支持同时连接</w:t>
            </w:r>
          </w:p>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充电时间:约 10 小时</w:t>
            </w:r>
          </w:p>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产品重量:约 14KG</w:t>
            </w:r>
          </w:p>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机身尺寸:410*310*630mm</w:t>
            </w:r>
          </w:p>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峰值功率: 160W</w:t>
            </w:r>
          </w:p>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电池容量:6000MAH</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bottom w:val="single" w:color="auto" w:sz="4" w:space="0"/>
              <w:right w:val="single" w:color="auto" w:sz="4" w:space="0"/>
            </w:tcBorders>
            <w:vAlign w:val="center"/>
          </w:tcPr>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户外专业双十五英寸无线音箱</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金正</w:t>
            </w:r>
          </w:p>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（NINTAUS） </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N30</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台</w:t>
            </w:r>
          </w:p>
        </w:tc>
        <w:tc>
          <w:tcPr>
            <w:tcW w:w="4219" w:type="dxa"/>
            <w:tcBorders>
              <w:top w:val="single" w:color="auto" w:sz="4" w:space="0"/>
              <w:left w:val="single" w:color="auto" w:sz="4" w:space="0"/>
              <w:bottom w:val="single" w:color="auto" w:sz="4" w:space="0"/>
            </w:tcBorders>
            <w:vAlign w:val="center"/>
          </w:tcPr>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功率:&lt;1000W</w:t>
            </w:r>
          </w:p>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输入电压:100-200V、50HZ/60HZ</w:t>
            </w:r>
          </w:p>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话筒频点:650MHz-850MHz</w:t>
            </w:r>
          </w:p>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适用场所:户外、商演、剧院、大会堂、酒吧、舞台</w:t>
            </w:r>
          </w:p>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产品尺寸：43*40*112.5</w:t>
            </w:r>
          </w:p>
          <w:p>
            <w:pPr>
              <w:widowControl/>
              <w:jc w:val="left"/>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产品重量：30KG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5" w:type="dxa"/>
            <w:gridSpan w:val="7"/>
            <w:tcBorders>
              <w:top w:val="single" w:color="auto" w:sz="4" w:space="0"/>
              <w:bottom w:val="single" w:color="auto" w:sz="4" w:space="0"/>
            </w:tcBorders>
            <w:vAlign w:val="center"/>
          </w:tcPr>
          <w:p>
            <w:pPr>
              <w:widowControl/>
              <w:jc w:val="left"/>
              <w:textAlignment w:val="center"/>
              <w:rPr>
                <w:rFonts w:hint="eastAsia"/>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所提供商品必须符合以上需</w:t>
            </w:r>
            <w:bookmarkStart w:id="8" w:name="_GoBack"/>
            <w:bookmarkEnd w:id="8"/>
            <w:r>
              <w:rPr>
                <w:rFonts w:hint="eastAsia" w:ascii="仿宋_GB2312" w:hAnsi="仿宋_GB2312" w:eastAsia="仿宋_GB2312" w:cs="仿宋_GB2312"/>
                <w:sz w:val="28"/>
                <w:szCs w:val="28"/>
                <w:lang w:val="en-US" w:eastAsia="zh-CN"/>
              </w:rPr>
              <w:t>求参数的要求。</w:t>
            </w:r>
          </w:p>
        </w:tc>
      </w:tr>
    </w:tbl>
    <w:p>
      <w:pPr>
        <w:pStyle w:val="5"/>
        <w:ind w:firstLine="0" w:firstLineChars="0"/>
        <w:rPr>
          <w:b/>
          <w:bCs/>
          <w:sz w:val="36"/>
          <w:szCs w:val="32"/>
        </w:rPr>
      </w:pPr>
    </w:p>
    <w:p/>
    <w:p>
      <w:pPr>
        <w:rPr>
          <w:rFonts w:hint="eastAsia" w:ascii="微软雅黑" w:hAnsi="微软雅黑" w:eastAsia="微软雅黑" w:cs="仿宋"/>
          <w:color w:val="000000"/>
          <w:sz w:val="21"/>
          <w:szCs w:val="21"/>
        </w:rPr>
      </w:pPr>
      <w:r>
        <w:rPr>
          <w:rFonts w:hint="eastAsia" w:ascii="微软雅黑" w:hAnsi="微软雅黑" w:eastAsia="微软雅黑" w:cs="仿宋"/>
          <w:color w:val="000000"/>
          <w:sz w:val="21"/>
          <w:szCs w:val="21"/>
        </w:rPr>
        <w:br w:type="page"/>
      </w:r>
    </w:p>
    <w:p>
      <w:pPr>
        <w:pStyle w:val="3"/>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rPr>
        <w:t>二、商务要求条款</w:t>
      </w:r>
    </w:p>
    <w:tbl>
      <w:tblPr>
        <w:tblStyle w:val="10"/>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6"/>
        <w:gridCol w:w="64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06"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★质保期</w:t>
            </w:r>
          </w:p>
        </w:tc>
        <w:tc>
          <w:tcPr>
            <w:tcW w:w="3793"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ind w:left="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按国家有关产品“三包”规定执行“三包”，除每项货物特别注明外，其余质保期不少于一年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若厂家免费质保期超过</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年的，按厂家规定执行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，其他设备按照商务要求提供保修。质保期内故障免费上门维修及更换配件。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0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★交付时间及地点</w:t>
            </w:r>
          </w:p>
        </w:tc>
        <w:tc>
          <w:tcPr>
            <w:tcW w:w="3793" w:type="pct"/>
            <w:tcBorders>
              <w:top w:val="single" w:color="auto" w:sz="4" w:space="0"/>
              <w:left w:val="single" w:color="auto" w:sz="4" w:space="0"/>
              <w:bottom w:val="single" w:color="auto" w:sz="4" w:space="0"/>
              <w:right w:val="single" w:color="auto" w:sz="4" w:space="0"/>
            </w:tcBorders>
            <w:vAlign w:val="center"/>
          </w:tcPr>
          <w:p>
            <w:pPr>
              <w:numPr>
                <w:ilvl w:val="0"/>
                <w:numId w:val="2"/>
              </w:numPr>
              <w:spacing w:line="360" w:lineRule="auto"/>
              <w:rPr>
                <w:rFonts w:hint="eastAsia" w:ascii="仿宋_GB2312" w:hAnsi="仿宋_GB2312" w:eastAsia="仿宋_GB2312" w:cs="仿宋_GB2312"/>
                <w:sz w:val="28"/>
                <w:szCs w:val="28"/>
              </w:rPr>
            </w:pPr>
            <w:bookmarkStart w:id="0" w:name="_Hlk121063463"/>
            <w:r>
              <w:rPr>
                <w:rFonts w:hint="eastAsia" w:ascii="仿宋_GB2312" w:hAnsi="仿宋_GB2312" w:eastAsia="仿宋_GB2312" w:cs="仿宋_GB2312"/>
                <w:sz w:val="28"/>
                <w:szCs w:val="28"/>
              </w:rPr>
              <w:t>交付时间：成交供应商在采购合同签订后</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个工作日内</w:t>
            </w:r>
            <w:r>
              <w:rPr>
                <w:rFonts w:hint="eastAsia" w:ascii="仿宋_GB2312" w:hAnsi="仿宋_GB2312" w:eastAsia="仿宋_GB2312" w:cs="仿宋_GB2312"/>
                <w:sz w:val="28"/>
                <w:szCs w:val="28"/>
                <w:lang w:val="en-US" w:eastAsia="zh-CN"/>
              </w:rPr>
              <w:t>完成所有商品</w:t>
            </w:r>
            <w:r>
              <w:rPr>
                <w:rFonts w:hint="eastAsia" w:ascii="仿宋_GB2312" w:hAnsi="仿宋_GB2312" w:eastAsia="仿宋_GB2312" w:cs="仿宋_GB2312"/>
                <w:sz w:val="28"/>
                <w:szCs w:val="28"/>
              </w:rPr>
              <w:t>供货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并根据采购人约定时间安排人员上门安装调试</w:t>
            </w:r>
            <w:r>
              <w:rPr>
                <w:rFonts w:hint="eastAsia" w:ascii="仿宋_GB2312" w:hAnsi="仿宋_GB2312" w:eastAsia="仿宋_GB2312" w:cs="仿宋_GB2312"/>
                <w:sz w:val="28"/>
                <w:szCs w:val="28"/>
              </w:rPr>
              <w:t>。</w:t>
            </w:r>
          </w:p>
          <w:p>
            <w:pPr>
              <w:numPr>
                <w:ilvl w:val="0"/>
                <w:numId w:val="2"/>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不接受邮寄商品到交货地点的供货方式。</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、交货地点：广西贵港市采购人指定地点。</w:t>
            </w:r>
            <w:bookmarkEnd w:id="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06"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_GB2312" w:hAnsi="仿宋_GB2312" w:eastAsia="仿宋_GB2312" w:cs="仿宋_GB2312"/>
                <w:sz w:val="28"/>
                <w:szCs w:val="28"/>
              </w:rPr>
            </w:pPr>
            <w:bookmarkStart w:id="1" w:name="_Hlk121063569"/>
            <w:r>
              <w:rPr>
                <w:rFonts w:hint="eastAsia" w:ascii="仿宋_GB2312" w:hAnsi="仿宋_GB2312" w:eastAsia="仿宋_GB2312" w:cs="仿宋_GB2312"/>
                <w:sz w:val="28"/>
                <w:szCs w:val="28"/>
              </w:rPr>
              <w:t>★服务标准、服务效率、售后服务要求</w:t>
            </w:r>
            <w:bookmarkEnd w:id="1"/>
          </w:p>
        </w:tc>
        <w:tc>
          <w:tcPr>
            <w:tcW w:w="3793"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rPr>
                <w:rFonts w:hint="eastAsia" w:ascii="仿宋_GB2312" w:hAnsi="仿宋_GB2312" w:eastAsia="仿宋_GB2312" w:cs="仿宋_GB2312"/>
                <w:sz w:val="28"/>
                <w:szCs w:val="28"/>
                <w:lang w:val="en-US" w:eastAsia="zh-CN"/>
              </w:rPr>
            </w:pPr>
            <w:bookmarkStart w:id="2" w:name="_Hlk121063578"/>
            <w:r>
              <w:rPr>
                <w:rFonts w:hint="eastAsia" w:ascii="仿宋_GB2312" w:hAnsi="仿宋_GB2312" w:eastAsia="仿宋_GB2312" w:cs="仿宋_GB2312"/>
                <w:sz w:val="28"/>
                <w:szCs w:val="28"/>
                <w:lang w:val="en-US" w:eastAsia="zh-CN"/>
              </w:rPr>
              <w:t>1、需送货上门，并安排技术人员到现场进行免费安装、调试，确保采购人能正常使用设备，所产生的费用由供应商承担。</w:t>
            </w:r>
          </w:p>
          <w:p>
            <w:pPr>
              <w:numPr>
                <w:ilvl w:val="0"/>
                <w:numId w:val="0"/>
              </w:numPr>
              <w:spacing w:line="360" w:lineRule="auto"/>
              <w:rPr>
                <w:rFonts w:hint="default" w:eastAsiaTheme="majorEastAsia"/>
                <w:lang w:val="en-US" w:eastAsia="zh-CN"/>
              </w:rPr>
            </w:pPr>
            <w:r>
              <w:rPr>
                <w:rFonts w:hint="eastAsia" w:ascii="仿宋_GB2312" w:hAnsi="仿宋_GB2312" w:eastAsia="仿宋_GB2312" w:cs="仿宋_GB2312"/>
                <w:sz w:val="28"/>
                <w:szCs w:val="28"/>
                <w:lang w:val="en-US" w:eastAsia="zh-CN"/>
              </w:rPr>
              <w:t>2、出现问题成交供应商必须在30分钟内做出响应，1小时到达现场，在24小时内解决。</w:t>
            </w:r>
            <w:bookmarkEnd w:id="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0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★付款条件</w:t>
            </w:r>
          </w:p>
        </w:tc>
        <w:tc>
          <w:tcPr>
            <w:tcW w:w="3793"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hint="eastAsia" w:ascii="仿宋_GB2312" w:hAnsi="仿宋_GB2312" w:eastAsia="仿宋_GB2312" w:cs="仿宋_GB2312"/>
                <w:sz w:val="28"/>
                <w:szCs w:val="28"/>
              </w:rPr>
            </w:pPr>
            <w:bookmarkStart w:id="3" w:name="_Hlk121064033"/>
            <w:r>
              <w:rPr>
                <w:rFonts w:hint="eastAsia" w:ascii="仿宋_GB2312" w:hAnsi="仿宋_GB2312" w:eastAsia="仿宋_GB2312" w:cs="仿宋_GB2312"/>
                <w:sz w:val="28"/>
                <w:szCs w:val="28"/>
              </w:rPr>
              <w:t>1、付款方式：</w:t>
            </w:r>
            <w:r>
              <w:rPr>
                <w:rFonts w:hint="eastAsia" w:ascii="仿宋_GB2312" w:hAnsi="仿宋_GB2312" w:eastAsia="仿宋_GB2312" w:cs="仿宋_GB2312"/>
                <w:sz w:val="28"/>
                <w:szCs w:val="28"/>
                <w:lang w:val="en-US" w:eastAsia="zh-CN"/>
              </w:rPr>
              <w:t>通过项目验收</w:t>
            </w:r>
            <w:r>
              <w:rPr>
                <w:rFonts w:hint="eastAsia" w:ascii="仿宋_GB2312" w:hAnsi="仿宋_GB2312" w:eastAsia="仿宋_GB2312" w:cs="仿宋_GB2312"/>
                <w:sz w:val="28"/>
                <w:szCs w:val="28"/>
              </w:rPr>
              <w:t>后15个工作日内支付合同金额的100%货款。</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2、成交供应商凭以下有效文件与采购人结算：</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（1）项目验收合格后供持正式发票、验收联审表、合同自行到采购人处结算，采购人凭供应商提供资料支付全部款项。</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（2）本合同使用货币为人民币。</w:t>
            </w:r>
            <w:bookmarkEnd w:id="3"/>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06"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★报价要求</w:t>
            </w:r>
          </w:p>
        </w:tc>
        <w:tc>
          <w:tcPr>
            <w:tcW w:w="3793"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ind w:left="6"/>
              <w:rPr>
                <w:rFonts w:hint="eastAsia" w:ascii="仿宋_GB2312" w:hAnsi="仿宋_GB2312" w:eastAsia="仿宋_GB2312" w:cs="仿宋_GB2312"/>
                <w:snapToGrid w:val="0"/>
                <w:kern w:val="11"/>
                <w:sz w:val="28"/>
                <w:szCs w:val="28"/>
              </w:rPr>
            </w:pPr>
            <w:bookmarkStart w:id="4" w:name="_Hlk121063749"/>
            <w:r>
              <w:rPr>
                <w:rFonts w:hint="eastAsia" w:ascii="仿宋_GB2312" w:hAnsi="仿宋_GB2312" w:eastAsia="仿宋_GB2312" w:cs="仿宋_GB2312"/>
                <w:snapToGrid w:val="0"/>
                <w:kern w:val="11"/>
                <w:sz w:val="28"/>
                <w:szCs w:val="28"/>
              </w:rPr>
              <w:t>报价含货物、随配附件、备品备件、工具、运抵指定交货地点、现场安装调试的各种费用、施工配合费和售后服务、税金及其他所有成本费用的总和及采购文件所要求的相关服务以及合同所示全部责任、义务和一般风险等全过程产生的所有成本和费用以及一切税费，对采购的全部货物进行完整唯一报价。</w:t>
            </w:r>
            <w:bookmarkEnd w:id="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0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bookmarkStart w:id="5" w:name="_Hlk121063801"/>
            <w:r>
              <w:rPr>
                <w:rFonts w:hint="eastAsia" w:ascii="仿宋_GB2312" w:hAnsi="仿宋_GB2312" w:eastAsia="仿宋_GB2312" w:cs="仿宋_GB2312"/>
                <w:sz w:val="28"/>
                <w:szCs w:val="28"/>
              </w:rPr>
              <w:t>★其他要求</w:t>
            </w:r>
          </w:p>
        </w:tc>
        <w:tc>
          <w:tcPr>
            <w:tcW w:w="3793"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要求竞标货物是全新的、完整、未使用过的、合格的、满足本项目技术需求及要求的货物。设备必须为符合国家有关质量安全标准的合格产品。产品零部件、配件、包装及安装材料必须是未经使用的全新的并符合国家有关质量安全标准的合格产品。</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2、本项目所有货物均严格按签订的采购合同、供应商响应和承诺的技术参数及性能和国家有关标准进行验收，达不到要求的验收不合格，并按相关法律法规进行处理。</w:t>
            </w:r>
          </w:p>
        </w:tc>
      </w:tr>
      <w:bookmarkEnd w:id="5"/>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0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bookmarkStart w:id="6" w:name="_Hlk121064117"/>
            <w:r>
              <w:rPr>
                <w:rFonts w:hint="eastAsia" w:ascii="仿宋_GB2312" w:hAnsi="仿宋_GB2312" w:eastAsia="仿宋_GB2312" w:cs="仿宋_GB2312"/>
                <w:sz w:val="28"/>
                <w:szCs w:val="28"/>
              </w:rPr>
              <w:t>项目验收要求</w:t>
            </w:r>
            <w:bookmarkEnd w:id="6"/>
          </w:p>
        </w:tc>
        <w:tc>
          <w:tcPr>
            <w:tcW w:w="3793"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8"/>
                <w:szCs w:val="28"/>
              </w:rPr>
            </w:pPr>
            <w:bookmarkStart w:id="7" w:name="_Hlk121064153"/>
            <w:r>
              <w:rPr>
                <w:rFonts w:hint="eastAsia" w:ascii="仿宋_GB2312" w:hAnsi="仿宋_GB2312" w:eastAsia="仿宋_GB2312" w:cs="仿宋_GB2312"/>
                <w:sz w:val="28"/>
                <w:szCs w:val="28"/>
              </w:rPr>
              <w:t>1、货物到货后，由成交供应商提出书面申请，经采购人项目负责部门确认签字后由其组织验收小组按采购文件、成交供应商相应文件、合同对供应商完成项目进行现场验收，验收合格则进入报账流程，验收不合格则供应商整改后再验收，直到合格。</w:t>
            </w:r>
          </w:p>
          <w:p>
            <w:pPr>
              <w:pStyle w:val="6"/>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2、采购人应在货到指定地点之日起3个工作日内验收完毕，并作出验收结果报告。验收时供应商必须在现场。</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3、成交供应商应保证货物到达用户所在地完好无损，如有缺漏、损坏，由成交供应商负责调换、补齐或赔偿。</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4、成交供应商应提供完备的技术资料和合格证等，若需要派遣专业技术人员进行现场安装调试的则必须安排专业人员到场服务。验收合格条件如下：</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①货物品种、规格、数量、技术参数以及品牌、制造商等与采购文件或合同一致，性能指标、功能参数达到规定的标准。</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②货物技术资料、合格证等资料齐全。</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③在规定时间内完成交货并验收，并经采购人确认。</w:t>
            </w:r>
            <w:bookmarkEnd w:id="7"/>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注意：</w:t>
            </w:r>
            <w:r>
              <w:rPr>
                <w:rFonts w:hint="eastAsia" w:ascii="仿宋_GB2312" w:hAnsi="仿宋_GB2312" w:eastAsia="仿宋_GB2312" w:cs="仿宋_GB2312"/>
                <w:sz w:val="28"/>
                <w:szCs w:val="28"/>
              </w:rPr>
              <w:t>以上标注“★”号条款供应商必须全部满足，缺一不可。</w:t>
            </w:r>
            <w:r>
              <w:rPr>
                <w:rFonts w:hint="eastAsia" w:ascii="仿宋_GB2312" w:hAnsi="仿宋_GB2312" w:eastAsia="仿宋_GB2312" w:cs="仿宋_GB2312"/>
                <w:sz w:val="28"/>
                <w:szCs w:val="28"/>
                <w:lang w:val="en-US" w:eastAsia="zh-CN"/>
              </w:rPr>
              <w:t>无法满足的，当无效报价处理。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72A4A3"/>
    <w:multiLevelType w:val="singleLevel"/>
    <w:tmpl w:val="BD72A4A3"/>
    <w:lvl w:ilvl="0" w:tentative="0">
      <w:start w:val="1"/>
      <w:numFmt w:val="decimal"/>
      <w:suff w:val="nothing"/>
      <w:lvlText w:val="%1、"/>
      <w:lvlJc w:val="left"/>
    </w:lvl>
  </w:abstractNum>
  <w:abstractNum w:abstractNumId="1">
    <w:nsid w:val="04EC044F"/>
    <w:multiLevelType w:val="multilevel"/>
    <w:tmpl w:val="04EC044F"/>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yYmM2M2IyMTg1NzFiZTE1NjkxYjM5OWM3ZWFkNmIifQ=="/>
  </w:docVars>
  <w:rsids>
    <w:rsidRoot w:val="00F649D3"/>
    <w:rsid w:val="00047ECF"/>
    <w:rsid w:val="00055B09"/>
    <w:rsid w:val="00076D3C"/>
    <w:rsid w:val="000D744D"/>
    <w:rsid w:val="0013268A"/>
    <w:rsid w:val="0016300C"/>
    <w:rsid w:val="001C5CE8"/>
    <w:rsid w:val="00207EBA"/>
    <w:rsid w:val="00210FB5"/>
    <w:rsid w:val="00230238"/>
    <w:rsid w:val="00265CB0"/>
    <w:rsid w:val="002831FB"/>
    <w:rsid w:val="0028586F"/>
    <w:rsid w:val="00347EF8"/>
    <w:rsid w:val="00361F4F"/>
    <w:rsid w:val="003671B6"/>
    <w:rsid w:val="00397638"/>
    <w:rsid w:val="00432EFB"/>
    <w:rsid w:val="00453E6E"/>
    <w:rsid w:val="0046604F"/>
    <w:rsid w:val="00494B8C"/>
    <w:rsid w:val="004F7D20"/>
    <w:rsid w:val="005559A4"/>
    <w:rsid w:val="005661EF"/>
    <w:rsid w:val="005843A0"/>
    <w:rsid w:val="005A782E"/>
    <w:rsid w:val="005D5210"/>
    <w:rsid w:val="00603116"/>
    <w:rsid w:val="00624914"/>
    <w:rsid w:val="00651738"/>
    <w:rsid w:val="00664B89"/>
    <w:rsid w:val="00664E9C"/>
    <w:rsid w:val="00677E1A"/>
    <w:rsid w:val="00696D7B"/>
    <w:rsid w:val="006F732B"/>
    <w:rsid w:val="0079432E"/>
    <w:rsid w:val="007A21C9"/>
    <w:rsid w:val="007C4CAA"/>
    <w:rsid w:val="007E6A82"/>
    <w:rsid w:val="008F1AC0"/>
    <w:rsid w:val="00931B4E"/>
    <w:rsid w:val="009A1252"/>
    <w:rsid w:val="009D0769"/>
    <w:rsid w:val="00A01DF3"/>
    <w:rsid w:val="00A90E3C"/>
    <w:rsid w:val="00AB5C76"/>
    <w:rsid w:val="00AB7B25"/>
    <w:rsid w:val="00AD63AF"/>
    <w:rsid w:val="00B07516"/>
    <w:rsid w:val="00B10D77"/>
    <w:rsid w:val="00B20B08"/>
    <w:rsid w:val="00B72D90"/>
    <w:rsid w:val="00B80C7E"/>
    <w:rsid w:val="00BA4223"/>
    <w:rsid w:val="00C47385"/>
    <w:rsid w:val="00C52E85"/>
    <w:rsid w:val="00C92B6E"/>
    <w:rsid w:val="00CE2C36"/>
    <w:rsid w:val="00CE6642"/>
    <w:rsid w:val="00CF7C4C"/>
    <w:rsid w:val="00D671C4"/>
    <w:rsid w:val="00D67B8E"/>
    <w:rsid w:val="00D72F2A"/>
    <w:rsid w:val="00D76500"/>
    <w:rsid w:val="00DB489B"/>
    <w:rsid w:val="00DB7903"/>
    <w:rsid w:val="00DC716B"/>
    <w:rsid w:val="00E5469E"/>
    <w:rsid w:val="00F00ADC"/>
    <w:rsid w:val="00F16475"/>
    <w:rsid w:val="00F17D1F"/>
    <w:rsid w:val="00F649D3"/>
    <w:rsid w:val="00F64DF9"/>
    <w:rsid w:val="00F96A4E"/>
    <w:rsid w:val="032420C1"/>
    <w:rsid w:val="045F7831"/>
    <w:rsid w:val="07C40658"/>
    <w:rsid w:val="08111380"/>
    <w:rsid w:val="09A2685F"/>
    <w:rsid w:val="0A6F1959"/>
    <w:rsid w:val="0B754501"/>
    <w:rsid w:val="0BE731A4"/>
    <w:rsid w:val="0F3E0021"/>
    <w:rsid w:val="139C54FB"/>
    <w:rsid w:val="1AB15F90"/>
    <w:rsid w:val="1ACD51C3"/>
    <w:rsid w:val="23CB0A05"/>
    <w:rsid w:val="2599514A"/>
    <w:rsid w:val="26B61130"/>
    <w:rsid w:val="2BE62A79"/>
    <w:rsid w:val="2D813ED6"/>
    <w:rsid w:val="35694CE3"/>
    <w:rsid w:val="36DD2903"/>
    <w:rsid w:val="37AE4F05"/>
    <w:rsid w:val="39C02AC5"/>
    <w:rsid w:val="429F4325"/>
    <w:rsid w:val="45790B64"/>
    <w:rsid w:val="461921B1"/>
    <w:rsid w:val="461D28FF"/>
    <w:rsid w:val="463E6C62"/>
    <w:rsid w:val="4A181A3D"/>
    <w:rsid w:val="4E6E0858"/>
    <w:rsid w:val="53B813F1"/>
    <w:rsid w:val="56D241A6"/>
    <w:rsid w:val="5FD6489C"/>
    <w:rsid w:val="61EF609C"/>
    <w:rsid w:val="621B4190"/>
    <w:rsid w:val="64A80175"/>
    <w:rsid w:val="72BC0950"/>
    <w:rsid w:val="74E223CE"/>
    <w:rsid w:val="79E25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8"/>
    <w:unhideWhenUsed/>
    <w:qFormat/>
    <w:uiPriority w:val="99"/>
    <w:pPr>
      <w:tabs>
        <w:tab w:val="center" w:pos="4153"/>
        <w:tab w:val="right" w:pos="8306"/>
      </w:tabs>
      <w:snapToGrid w:val="0"/>
      <w:jc w:val="left"/>
    </w:pPr>
    <w:rPr>
      <w:sz w:val="18"/>
      <w:szCs w:val="18"/>
    </w:rPr>
  </w:style>
  <w:style w:type="paragraph" w:styleId="4">
    <w:name w:val="annotation text"/>
    <w:basedOn w:val="1"/>
    <w:link w:val="14"/>
    <w:qFormat/>
    <w:uiPriority w:val="0"/>
    <w:pPr>
      <w:jc w:val="left"/>
    </w:pPr>
    <w:rPr>
      <w:rFonts w:eastAsiaTheme="minorEastAsia" w:cstheme="minorBidi"/>
    </w:rPr>
  </w:style>
  <w:style w:type="paragraph" w:styleId="5">
    <w:name w:val="Body Text"/>
    <w:basedOn w:val="1"/>
    <w:link w:val="19"/>
    <w:unhideWhenUsed/>
    <w:qFormat/>
    <w:uiPriority w:val="99"/>
    <w:pPr>
      <w:spacing w:after="120"/>
      <w:ind w:firstLine="200" w:firstLineChars="200"/>
    </w:pPr>
    <w:rPr>
      <w:rFonts w:eastAsia="仿宋" w:asciiTheme="minorHAnsi" w:hAnsiTheme="minorHAnsi" w:cstheme="minorBidi"/>
      <w:sz w:val="32"/>
      <w:szCs w:val="22"/>
    </w:rPr>
  </w:style>
  <w:style w:type="paragraph" w:styleId="6">
    <w:name w:val="Plain Text"/>
    <w:basedOn w:val="1"/>
    <w:link w:val="20"/>
    <w:qFormat/>
    <w:uiPriority w:val="0"/>
    <w:rPr>
      <w:rFonts w:ascii="宋体" w:hAnsi="Courier New" w:cs="Courier New"/>
      <w:kern w:val="0"/>
      <w:sz w:val="20"/>
      <w:szCs w:val="21"/>
    </w:rPr>
  </w:style>
  <w:style w:type="paragraph" w:styleId="7">
    <w:name w:val="Balloon Text"/>
    <w:basedOn w:val="1"/>
    <w:link w:val="16"/>
    <w:semiHidden/>
    <w:unhideWhenUsed/>
    <w:qFormat/>
    <w:uiPriority w:val="99"/>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Autospacing="1" w:afterAutospacing="1"/>
      <w:jc w:val="left"/>
    </w:pPr>
    <w:rPr>
      <w:kern w:val="0"/>
      <w:sz w:val="24"/>
    </w:rPr>
  </w:style>
  <w:style w:type="character" w:styleId="12">
    <w:name w:val="annotation reference"/>
    <w:qFormat/>
    <w:uiPriority w:val="99"/>
    <w:rPr>
      <w:sz w:val="21"/>
      <w:szCs w:val="21"/>
    </w:rPr>
  </w:style>
  <w:style w:type="character" w:customStyle="1" w:styleId="13">
    <w:name w:val="标题 2字符"/>
    <w:basedOn w:val="11"/>
    <w:link w:val="3"/>
    <w:semiHidden/>
    <w:qFormat/>
    <w:uiPriority w:val="9"/>
    <w:rPr>
      <w:rFonts w:asciiTheme="majorHAnsi" w:hAnsiTheme="majorHAnsi" w:eastAsiaTheme="majorEastAsia" w:cstheme="majorBidi"/>
      <w:b/>
      <w:bCs/>
      <w:sz w:val="32"/>
      <w:szCs w:val="32"/>
    </w:rPr>
  </w:style>
  <w:style w:type="character" w:customStyle="1" w:styleId="14">
    <w:name w:val="批注文字字符"/>
    <w:link w:val="4"/>
    <w:qFormat/>
    <w:uiPriority w:val="0"/>
    <w:rPr>
      <w:rFonts w:ascii="Times New Roman" w:hAnsi="Times New Roman"/>
      <w:szCs w:val="24"/>
    </w:rPr>
  </w:style>
  <w:style w:type="character" w:customStyle="1" w:styleId="15">
    <w:name w:val="批注文字 Char1"/>
    <w:basedOn w:val="11"/>
    <w:semiHidden/>
    <w:qFormat/>
    <w:uiPriority w:val="99"/>
    <w:rPr>
      <w:rFonts w:ascii="Times New Roman" w:hAnsi="Times New Roman" w:eastAsia="宋体" w:cs="Times New Roman"/>
      <w:szCs w:val="24"/>
    </w:rPr>
  </w:style>
  <w:style w:type="character" w:customStyle="1" w:styleId="16">
    <w:name w:val="批注框文本字符"/>
    <w:basedOn w:val="11"/>
    <w:link w:val="7"/>
    <w:semiHidden/>
    <w:qFormat/>
    <w:uiPriority w:val="99"/>
    <w:rPr>
      <w:rFonts w:ascii="Times New Roman" w:hAnsi="Times New Roman" w:eastAsia="宋体" w:cs="Times New Roman"/>
      <w:sz w:val="18"/>
      <w:szCs w:val="18"/>
    </w:rPr>
  </w:style>
  <w:style w:type="character" w:customStyle="1" w:styleId="17">
    <w:name w:val="页眉字符"/>
    <w:basedOn w:val="11"/>
    <w:link w:val="8"/>
    <w:qFormat/>
    <w:uiPriority w:val="99"/>
    <w:rPr>
      <w:kern w:val="2"/>
      <w:sz w:val="18"/>
      <w:szCs w:val="18"/>
    </w:rPr>
  </w:style>
  <w:style w:type="character" w:customStyle="1" w:styleId="18">
    <w:name w:val="页脚字符"/>
    <w:basedOn w:val="11"/>
    <w:link w:val="2"/>
    <w:qFormat/>
    <w:uiPriority w:val="99"/>
    <w:rPr>
      <w:kern w:val="2"/>
      <w:sz w:val="18"/>
      <w:szCs w:val="18"/>
    </w:rPr>
  </w:style>
  <w:style w:type="character" w:customStyle="1" w:styleId="19">
    <w:name w:val="正文文本字符"/>
    <w:basedOn w:val="11"/>
    <w:link w:val="5"/>
    <w:qFormat/>
    <w:uiPriority w:val="99"/>
    <w:rPr>
      <w:rFonts w:eastAsia="仿宋" w:asciiTheme="minorHAnsi" w:hAnsiTheme="minorHAnsi" w:cstheme="minorBidi"/>
      <w:kern w:val="2"/>
      <w:sz w:val="32"/>
      <w:szCs w:val="22"/>
    </w:rPr>
  </w:style>
  <w:style w:type="character" w:customStyle="1" w:styleId="20">
    <w:name w:val="纯文本字符"/>
    <w:link w:val="6"/>
    <w:qFormat/>
    <w:uiPriority w:val="0"/>
    <w:rPr>
      <w:rFonts w:ascii="宋体" w:hAnsi="Courier New" w:cs="Courier New"/>
      <w:szCs w:val="21"/>
    </w:rPr>
  </w:style>
  <w:style w:type="character" w:customStyle="1" w:styleId="21">
    <w:name w:val="纯文本 Char1"/>
    <w:basedOn w:val="11"/>
    <w:semiHidden/>
    <w:qFormat/>
    <w:uiPriority w:val="99"/>
    <w:rPr>
      <w:rFonts w:ascii="宋体" w:hAnsi="Courier New" w:cs="Courier New"/>
      <w:kern w:val="2"/>
      <w:sz w:val="21"/>
      <w:szCs w:val="21"/>
    </w:rPr>
  </w:style>
  <w:style w:type="paragraph" w:styleId="22">
    <w:name w:val="List Paragraph"/>
    <w:basedOn w:val="1"/>
    <w:qFormat/>
    <w:uiPriority w:val="99"/>
    <w:pPr>
      <w:ind w:firstLine="420" w:firstLineChars="200"/>
    </w:pPr>
  </w:style>
  <w:style w:type="character" w:customStyle="1" w:styleId="23">
    <w:name w:val="font01"/>
    <w:basedOn w:val="11"/>
    <w:qFormat/>
    <w:uiPriority w:val="0"/>
    <w:rPr>
      <w:rFonts w:hint="eastAsia" w:ascii="宋体" w:hAnsi="宋体" w:eastAsia="宋体" w:cs="宋体"/>
      <w:color w:val="FF0000"/>
      <w:sz w:val="20"/>
      <w:szCs w:val="20"/>
      <w:u w:val="none"/>
    </w:rPr>
  </w:style>
  <w:style w:type="character" w:customStyle="1" w:styleId="24">
    <w:name w:val="font31"/>
    <w:basedOn w:val="11"/>
    <w:qFormat/>
    <w:uiPriority w:val="0"/>
    <w:rPr>
      <w:rFonts w:hint="eastAsia" w:ascii="宋体" w:hAnsi="宋体" w:eastAsia="宋体" w:cs="宋体"/>
      <w:color w:val="000000"/>
      <w:sz w:val="20"/>
      <w:szCs w:val="20"/>
      <w:u w:val="none"/>
    </w:rPr>
  </w:style>
  <w:style w:type="character" w:customStyle="1" w:styleId="25">
    <w:name w:val="font7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266</Words>
  <Characters>1519</Characters>
  <Lines>12</Lines>
  <Paragraphs>3</Paragraphs>
  <TotalTime>2</TotalTime>
  <ScaleCrop>false</ScaleCrop>
  <LinksUpToDate>false</LinksUpToDate>
  <CharactersWithSpaces>1782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2022-10-13T07:55:00Z</dcterms:created>
  <dc:creator>Windows 用户</dc:creator>
  <cp:lastModifiedBy>gxlv</cp:lastModifiedBy>
  <dcterms:modified xsi:type="dcterms:W3CDTF">2023-12-04T02:28:29Z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0FFEC54BB4E54D3DBE5C3E35711BF61E</vt:lpwstr>
  </property>
</Properties>
</file>