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32"/>
          <w:szCs w:val="32"/>
        </w:rPr>
      </w:pPr>
      <w:r>
        <w:rPr>
          <w:rFonts w:hint="eastAsia" w:ascii="宋体" w:hAnsi="宋体"/>
          <w:b/>
          <w:sz w:val="32"/>
          <w:szCs w:val="32"/>
        </w:rPr>
        <w:t>评审标准</w:t>
      </w:r>
    </w:p>
    <w:p>
      <w:pPr>
        <w:spacing w:line="360" w:lineRule="auto"/>
        <w:ind w:firstLine="420" w:firstLineChars="200"/>
        <w:rPr>
          <w:rFonts w:ascii="宋体" w:hAnsi="宋体"/>
          <w:bCs/>
          <w:szCs w:val="21"/>
        </w:rPr>
      </w:pPr>
      <w:r>
        <w:rPr>
          <w:rFonts w:hint="eastAsia" w:ascii="宋体" w:hAnsi="宋体"/>
          <w:bCs/>
          <w:szCs w:val="21"/>
        </w:rPr>
        <w:t>评审依据：磋商小组将以磋商响应文件为评审依据，对供应商的报价、技术、商务等方面内容按百分制打分。（计分方法按四舍五入取至百分位）</w:t>
      </w:r>
    </w:p>
    <w:tbl>
      <w:tblPr>
        <w:tblStyle w:val="10"/>
        <w:tblW w:w="9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419"/>
        <w:gridCol w:w="628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3" w:type="dxa"/>
            <w:noWrap w:val="0"/>
            <w:vAlign w:val="center"/>
          </w:tcPr>
          <w:p>
            <w:pPr>
              <w:widowControl/>
              <w:spacing w:line="400" w:lineRule="exact"/>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sz w:val="28"/>
                <w:szCs w:val="28"/>
              </w:rPr>
              <w:br w:type="page"/>
            </w:r>
            <w:r>
              <w:rPr>
                <w:rFonts w:hint="eastAsia" w:ascii="仿宋_GB2312" w:hAnsi="仿宋_GB2312" w:eastAsia="仿宋_GB2312" w:cs="仿宋_GB2312"/>
                <w:b/>
                <w:bCs/>
                <w:kern w:val="0"/>
                <w:sz w:val="28"/>
                <w:szCs w:val="28"/>
              </w:rPr>
              <w:t>序号</w:t>
            </w:r>
          </w:p>
        </w:tc>
        <w:tc>
          <w:tcPr>
            <w:tcW w:w="1419" w:type="dxa"/>
            <w:noWrap w:val="0"/>
            <w:vAlign w:val="center"/>
          </w:tcPr>
          <w:p>
            <w:pPr>
              <w:widowControl/>
              <w:spacing w:line="400" w:lineRule="exact"/>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评审因素</w:t>
            </w:r>
          </w:p>
        </w:tc>
        <w:tc>
          <w:tcPr>
            <w:tcW w:w="6288" w:type="dxa"/>
            <w:noWrap w:val="0"/>
            <w:vAlign w:val="center"/>
          </w:tcPr>
          <w:p>
            <w:pPr>
              <w:widowControl/>
              <w:spacing w:line="400" w:lineRule="exact"/>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评审因素具体内容</w:t>
            </w:r>
          </w:p>
        </w:tc>
        <w:tc>
          <w:tcPr>
            <w:tcW w:w="851" w:type="dxa"/>
            <w:noWrap w:val="0"/>
            <w:vAlign w:val="center"/>
          </w:tcPr>
          <w:p>
            <w:pPr>
              <w:widowControl/>
              <w:spacing w:line="400" w:lineRule="exact"/>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3" w:type="dxa"/>
            <w:noWrap w:val="0"/>
            <w:vAlign w:val="center"/>
          </w:tcPr>
          <w:p>
            <w:pPr>
              <w:widowControl/>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1419" w:type="dxa"/>
            <w:noWrap w:val="0"/>
            <w:vAlign w:val="center"/>
          </w:tcPr>
          <w:p>
            <w:pPr>
              <w:widowControl/>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价格分</w:t>
            </w:r>
          </w:p>
          <w:p>
            <w:pPr>
              <w:widowControl/>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（满分15分）</w:t>
            </w:r>
          </w:p>
        </w:tc>
        <w:tc>
          <w:tcPr>
            <w:tcW w:w="6288" w:type="dxa"/>
            <w:noWrap w:val="0"/>
            <w:vAlign w:val="top"/>
          </w:tcPr>
          <w:p>
            <w:pPr>
              <w:pStyle w:val="5"/>
              <w:spacing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（1）以进入比较与评价环节的最低的最后报价为基准价，基准价得分为</w:t>
            </w:r>
            <w:r>
              <w:rPr>
                <w:rFonts w:hint="eastAsia" w:ascii="仿宋_GB2312" w:hAnsi="仿宋_GB2312" w:eastAsia="仿宋_GB2312" w:cs="仿宋_GB2312"/>
                <w:bCs/>
                <w:sz w:val="28"/>
                <w:szCs w:val="28"/>
                <w:u w:val="single"/>
              </w:rPr>
              <w:t xml:space="preserve"> 15 分</w:t>
            </w:r>
            <w:r>
              <w:rPr>
                <w:rFonts w:hint="eastAsia" w:ascii="仿宋_GB2312" w:hAnsi="仿宋_GB2312" w:eastAsia="仿宋_GB2312" w:cs="仿宋_GB2312"/>
                <w:bCs/>
                <w:sz w:val="28"/>
                <w:szCs w:val="28"/>
              </w:rPr>
              <w:t>。</w:t>
            </w:r>
          </w:p>
          <w:p>
            <w:pPr>
              <w:pStyle w:val="5"/>
              <w:spacing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（2）价格分计算公式：</w:t>
            </w:r>
          </w:p>
          <w:p>
            <w:pPr>
              <w:pStyle w:val="5"/>
              <w:spacing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报价得分=（基准价/最后报价）×</w:t>
            </w:r>
            <w:r>
              <w:rPr>
                <w:rFonts w:hint="eastAsia" w:ascii="仿宋_GB2312" w:hAnsi="仿宋_GB2312" w:eastAsia="仿宋_GB2312" w:cs="仿宋_GB2312"/>
                <w:bCs/>
                <w:sz w:val="28"/>
                <w:szCs w:val="28"/>
                <w:u w:val="single"/>
              </w:rPr>
              <w:t>15分</w:t>
            </w:r>
          </w:p>
        </w:tc>
        <w:tc>
          <w:tcPr>
            <w:tcW w:w="851" w:type="dxa"/>
            <w:noWrap w:val="0"/>
            <w:vAlign w:val="center"/>
          </w:tcPr>
          <w:p>
            <w:pPr>
              <w:widowControl/>
              <w:spacing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3" w:type="dxa"/>
            <w:noWrap w:val="0"/>
            <w:vAlign w:val="center"/>
          </w:tcPr>
          <w:p>
            <w:pPr>
              <w:widowControl/>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bCs/>
                <w:kern w:val="0"/>
                <w:sz w:val="28"/>
                <w:szCs w:val="28"/>
              </w:rPr>
              <w:t>2</w:t>
            </w:r>
          </w:p>
        </w:tc>
        <w:tc>
          <w:tcPr>
            <w:tcW w:w="1419" w:type="dxa"/>
            <w:noWrap w:val="0"/>
            <w:vAlign w:val="center"/>
          </w:tcPr>
          <w:p>
            <w:pPr>
              <w:widowControl/>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bCs/>
                <w:kern w:val="0"/>
                <w:sz w:val="28"/>
                <w:szCs w:val="28"/>
              </w:rPr>
              <w:t>技术分</w:t>
            </w:r>
          </w:p>
        </w:tc>
        <w:tc>
          <w:tcPr>
            <w:tcW w:w="7139" w:type="dxa"/>
            <w:gridSpan w:val="2"/>
            <w:noWrap w:val="0"/>
            <w:vAlign w:val="top"/>
          </w:tcPr>
          <w:p>
            <w:pPr>
              <w:widowControl/>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3" w:type="dxa"/>
            <w:noWrap w:val="0"/>
            <w:vAlign w:val="center"/>
          </w:tcPr>
          <w:p>
            <w:pPr>
              <w:adjustRightInd w:val="0"/>
              <w:spacing w:line="400" w:lineRule="exact"/>
              <w:ind w:left="-105" w:leftChars="-50" w:right="-105" w:rightChars="-50"/>
              <w:jc w:val="center"/>
              <w:textAlignment w:val="baseline"/>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2.1</w:t>
            </w:r>
          </w:p>
        </w:tc>
        <w:tc>
          <w:tcPr>
            <w:tcW w:w="1419" w:type="dxa"/>
            <w:noWrap w:val="0"/>
            <w:vAlign w:val="center"/>
          </w:tcPr>
          <w:p>
            <w:pPr>
              <w:tabs>
                <w:tab w:val="left" w:pos="8460"/>
              </w:tabs>
              <w:adjustRightInd w:val="0"/>
              <w:spacing w:line="400" w:lineRule="exact"/>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bCs/>
                <w:kern w:val="0"/>
                <w:sz w:val="28"/>
                <w:szCs w:val="28"/>
              </w:rPr>
              <w:t>（1）项目实施方案分（满分30分）</w:t>
            </w:r>
          </w:p>
        </w:tc>
        <w:tc>
          <w:tcPr>
            <w:tcW w:w="6288" w:type="dxa"/>
            <w:noWrap w:val="0"/>
            <w:vAlign w:val="center"/>
          </w:tcPr>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一档（1分）提供了项目简单的实施方案，方案基本满足采购需求。</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二档（6分）提供了项目实施方案，较详细描述了实现方式，项目实施方案可行，基本符合项目实际情况。</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三档（18分）提供了项目实施方案，较详细描述了实现方式，服务内容与成果描述较具体，基本满足项目的需要。</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四档（24分）提供了项目实施方案，详细描述了实现方式。功能描述具体详细，较好地满足项目的需要；服务内容与成果描述较具体。项目实施方案比较科学，有实施进度和管理措施。</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档（30分）提供了项目实施方案，对项目的目标预期效果有深刻认识，详细描述了实现方式。服务内容与成果描述较具体，完全满足项目的需要；培训授课师资属于专业或行业专家型人才。项目实施方案科学合理，有明确的实施进度和管理措施，有明确的项目实施保障措施，对质量有详细的控制方案和措施。</w:t>
            </w:r>
          </w:p>
        </w:tc>
        <w:tc>
          <w:tcPr>
            <w:tcW w:w="851" w:type="dxa"/>
            <w:noWrap w:val="0"/>
            <w:vAlign w:val="center"/>
          </w:tcPr>
          <w:p>
            <w:pPr>
              <w:spacing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3" w:type="dxa"/>
            <w:noWrap w:val="0"/>
            <w:vAlign w:val="center"/>
          </w:tcPr>
          <w:p>
            <w:pPr>
              <w:adjustRightInd w:val="0"/>
              <w:spacing w:line="400" w:lineRule="exact"/>
              <w:ind w:left="-105" w:leftChars="-50" w:right="-105" w:rightChars="-50"/>
              <w:jc w:val="center"/>
              <w:textAlignment w:val="baseline"/>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2.2</w:t>
            </w:r>
          </w:p>
        </w:tc>
        <w:tc>
          <w:tcPr>
            <w:tcW w:w="1419" w:type="dxa"/>
            <w:noWrap w:val="0"/>
            <w:vAlign w:val="center"/>
          </w:tcPr>
          <w:p>
            <w:pPr>
              <w:tabs>
                <w:tab w:val="left" w:pos="8460"/>
              </w:tabs>
              <w:adjustRightInd w:val="0"/>
              <w:spacing w:line="400" w:lineRule="exact"/>
              <w:jc w:val="center"/>
              <w:textAlignment w:val="baseline"/>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（2）培训能力（满分9分）</w:t>
            </w:r>
          </w:p>
        </w:tc>
        <w:tc>
          <w:tcPr>
            <w:tcW w:w="6288" w:type="dxa"/>
            <w:noWrap w:val="0"/>
            <w:vAlign w:val="center"/>
          </w:tcPr>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竞标人或提供服务的企业应具有专项师资培训、教师信息化知识/技能培训的能力，为了更好的服务本项目，竞标人或提供服务的企业需提供近3年内智慧物流、智慧快递、货运代理培训/会议案例证明作为能力评估佐证材料，每个方向每提供1个案例证明材料得3分，最高得9分。</w:t>
            </w:r>
          </w:p>
        </w:tc>
        <w:tc>
          <w:tcPr>
            <w:tcW w:w="851" w:type="dxa"/>
            <w:noWrap w:val="0"/>
            <w:vAlign w:val="center"/>
          </w:tcPr>
          <w:p>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3" w:type="dxa"/>
            <w:noWrap w:val="0"/>
            <w:vAlign w:val="center"/>
          </w:tcPr>
          <w:p>
            <w:pPr>
              <w:adjustRightInd w:val="0"/>
              <w:spacing w:line="400" w:lineRule="exact"/>
              <w:ind w:left="-105" w:leftChars="-50" w:right="-105" w:rightChars="-50"/>
              <w:jc w:val="center"/>
              <w:textAlignment w:val="baseline"/>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2.3</w:t>
            </w:r>
          </w:p>
        </w:tc>
        <w:tc>
          <w:tcPr>
            <w:tcW w:w="1419" w:type="dxa"/>
            <w:noWrap w:val="0"/>
            <w:vAlign w:val="center"/>
          </w:tcPr>
          <w:p>
            <w:pPr>
              <w:spacing w:line="400" w:lineRule="exact"/>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（3）售后服务方案评审</w:t>
            </w:r>
          </w:p>
          <w:p>
            <w:pPr>
              <w:spacing w:line="400" w:lineRule="exact"/>
              <w:jc w:val="center"/>
              <w:outlineLvl w:val="0"/>
              <w:rPr>
                <w:rFonts w:hint="eastAsia" w:ascii="仿宋_GB2312" w:hAnsi="仿宋_GB2312" w:eastAsia="仿宋_GB2312" w:cs="仿宋_GB2312"/>
                <w:bCs/>
                <w:kern w:val="0"/>
                <w:sz w:val="28"/>
                <w:szCs w:val="28"/>
              </w:rPr>
            </w:pPr>
            <w:r>
              <w:rPr>
                <w:rFonts w:hint="eastAsia" w:ascii="仿宋_GB2312" w:hAnsi="仿宋_GB2312" w:eastAsia="仿宋_GB2312" w:cs="仿宋_GB2312"/>
                <w:bCs/>
                <w:sz w:val="28"/>
                <w:szCs w:val="28"/>
              </w:rPr>
              <w:t>（16分）</w:t>
            </w:r>
          </w:p>
        </w:tc>
        <w:tc>
          <w:tcPr>
            <w:tcW w:w="6288" w:type="dxa"/>
            <w:noWrap w:val="0"/>
            <w:vAlign w:val="center"/>
          </w:tcPr>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一档（0-5分）：竞标人针对本项目售后服务承诺基本满足招标文件要求，服务体系及后期支持措施简单，响应时间基本满足招标文件要求，售后保障能力、售后教学指导能力等一般的；</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档（6-11分）：竞标人针对本项目售后服务承诺略优于招标文件要求、服务体系及后期支持措施较详细且符合项目特点，响应时间满足招标文件要求、售后保障能力较好，本地化服务能力较强、售后教学指导能力良好的；</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三档（12-16分）：竞标人针对本项目售后服务承诺、服务体系、本地服务机构及后期支持措施有较强针对性且可操作性强、响应时间明显优于招标文件要求、售后教学指导能力、售后保障综合能力优秀的。</w:t>
            </w:r>
          </w:p>
        </w:tc>
        <w:tc>
          <w:tcPr>
            <w:tcW w:w="851" w:type="dxa"/>
            <w:noWrap w:val="0"/>
            <w:vAlign w:val="center"/>
          </w:tcPr>
          <w:p>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3" w:type="dxa"/>
            <w:noWrap w:val="0"/>
            <w:vAlign w:val="center"/>
          </w:tcPr>
          <w:p>
            <w:pPr>
              <w:widowControl/>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p>
        </w:tc>
        <w:tc>
          <w:tcPr>
            <w:tcW w:w="1419" w:type="dxa"/>
            <w:noWrap w:val="0"/>
            <w:vAlign w:val="center"/>
          </w:tcPr>
          <w:p>
            <w:pPr>
              <w:widowControl/>
              <w:spacing w:line="40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商务分</w:t>
            </w:r>
          </w:p>
        </w:tc>
        <w:tc>
          <w:tcPr>
            <w:tcW w:w="7139" w:type="dxa"/>
            <w:gridSpan w:val="2"/>
            <w:noWrap w:val="0"/>
            <w:vAlign w:val="center"/>
          </w:tcPr>
          <w:p>
            <w:pPr>
              <w:widowControl/>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3" w:type="dxa"/>
            <w:noWrap w:val="0"/>
            <w:vAlign w:val="center"/>
          </w:tcPr>
          <w:p>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3.1</w:t>
            </w:r>
          </w:p>
        </w:tc>
        <w:tc>
          <w:tcPr>
            <w:tcW w:w="1419" w:type="dxa"/>
            <w:noWrap w:val="0"/>
            <w:vAlign w:val="center"/>
          </w:tcPr>
          <w:p>
            <w:pPr>
              <w:tabs>
                <w:tab w:val="left" w:pos="8460"/>
              </w:tabs>
              <w:adjustRightInd w:val="0"/>
              <w:spacing w:line="400" w:lineRule="exact"/>
              <w:jc w:val="center"/>
              <w:textAlignment w:val="baseline"/>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（1）企业综合实力</w:t>
            </w:r>
          </w:p>
          <w:p>
            <w:pPr>
              <w:tabs>
                <w:tab w:val="left" w:pos="8460"/>
              </w:tabs>
              <w:adjustRightInd w:val="0"/>
              <w:spacing w:line="400" w:lineRule="exact"/>
              <w:jc w:val="center"/>
              <w:textAlignment w:val="baseline"/>
              <w:rPr>
                <w:rFonts w:hint="eastAsia" w:ascii="仿宋_GB2312" w:hAnsi="仿宋_GB2312" w:eastAsia="仿宋_GB2312" w:cs="仿宋_GB2312"/>
                <w:bCs/>
                <w:sz w:val="28"/>
                <w:szCs w:val="28"/>
              </w:rPr>
            </w:pPr>
            <w:r>
              <w:rPr>
                <w:rFonts w:hint="eastAsia" w:ascii="仿宋_GB2312" w:hAnsi="仿宋_GB2312" w:eastAsia="仿宋_GB2312" w:cs="仿宋_GB2312"/>
                <w:bCs/>
                <w:kern w:val="0"/>
                <w:sz w:val="28"/>
                <w:szCs w:val="28"/>
              </w:rPr>
              <w:t>（18）</w:t>
            </w:r>
          </w:p>
        </w:tc>
        <w:tc>
          <w:tcPr>
            <w:tcW w:w="6288" w:type="dxa"/>
            <w:noWrap w:val="0"/>
            <w:vAlign w:val="center"/>
          </w:tcPr>
          <w:p>
            <w:pPr>
              <w:pStyle w:val="18"/>
              <w:autoSpaceDE/>
              <w:autoSpaceDN/>
              <w:snapToGrid w:val="0"/>
              <w:spacing w:line="36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1、竞标人或提供服务的企业通过质量管理体系认证、信息技术服务管理体系认证的，每提供一个得1分，共2分。</w:t>
            </w:r>
          </w:p>
          <w:p>
            <w:pPr>
              <w:pStyle w:val="18"/>
              <w:autoSpaceDE/>
              <w:autoSpaceDN/>
              <w:snapToGrid w:val="0"/>
              <w:spacing w:line="36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2、竞标人或提供服务的企业近3年内获得过至少2次物流专业方面优秀产学研基地的，得4分。</w:t>
            </w:r>
          </w:p>
          <w:p>
            <w:pPr>
              <w:pStyle w:val="18"/>
              <w:autoSpaceDE/>
              <w:autoSpaceDN/>
              <w:snapToGrid w:val="0"/>
              <w:spacing w:line="36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3、竞标人或提供服务的企业获得AAA级信用等级证书、省级守合同重信用企业的，得4分。</w:t>
            </w:r>
          </w:p>
          <w:p>
            <w:pPr>
              <w:pStyle w:val="18"/>
              <w:autoSpaceDE/>
              <w:autoSpaceDN/>
              <w:snapToGrid w:val="0"/>
              <w:spacing w:line="36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4、竞标人或提供服务的企业获得高新技术企业证书的，得2分。</w:t>
            </w:r>
          </w:p>
          <w:p>
            <w:pPr>
              <w:pStyle w:val="18"/>
              <w:autoSpaceDE/>
              <w:autoSpaceDN/>
              <w:snapToGrid w:val="0"/>
              <w:spacing w:line="360" w:lineRule="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sz w:val="28"/>
                <w:szCs w:val="28"/>
              </w:rPr>
              <w:t>5、竞标人或提供服务的企业获得过行业人才培养优秀协作企业证书的，得3分。</w:t>
            </w:r>
          </w:p>
          <w:p>
            <w:pPr>
              <w:pStyle w:val="18"/>
              <w:autoSpaceDE/>
              <w:autoSpaceDN/>
              <w:snapToGrid w:val="0"/>
              <w:spacing w:line="360" w:lineRule="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6、</w:t>
            </w:r>
            <w:r>
              <w:rPr>
                <w:rFonts w:hint="eastAsia" w:ascii="仿宋_GB2312" w:hAnsi="仿宋_GB2312" w:eastAsia="仿宋_GB2312" w:cs="仿宋_GB2312"/>
                <w:color w:val="auto"/>
                <w:sz w:val="28"/>
                <w:szCs w:val="28"/>
              </w:rPr>
              <w:t>竞标人或提供服务的企业近3年内有过教育部产学合作协同育人项目案例的，每提供1个案例得1分，共3分。</w:t>
            </w:r>
          </w:p>
          <w:p>
            <w:pPr>
              <w:pStyle w:val="18"/>
              <w:autoSpaceDE/>
              <w:autoSpaceDN/>
              <w:snapToGrid w:val="0"/>
              <w:spacing w:line="360" w:lineRule="auto"/>
              <w:rPr>
                <w:rFonts w:hint="eastAsia" w:ascii="仿宋_GB2312" w:hAnsi="仿宋_GB2312" w:eastAsia="仿宋_GB2312" w:cs="仿宋_GB2312"/>
                <w:bCs/>
                <w:sz w:val="28"/>
                <w:szCs w:val="28"/>
              </w:rPr>
            </w:pPr>
            <w:r>
              <w:rPr>
                <w:rFonts w:hint="eastAsia" w:ascii="仿宋_GB2312" w:hAnsi="仿宋_GB2312" w:eastAsia="仿宋_GB2312" w:cs="仿宋_GB2312"/>
                <w:color w:val="auto"/>
                <w:kern w:val="2"/>
                <w:sz w:val="28"/>
                <w:szCs w:val="28"/>
              </w:rPr>
              <w:t>以上资质投标文件中提供复印件加盖公章，原件现场备查。</w:t>
            </w:r>
          </w:p>
        </w:tc>
        <w:tc>
          <w:tcPr>
            <w:tcW w:w="851" w:type="dxa"/>
            <w:noWrap w:val="0"/>
            <w:vAlign w:val="center"/>
          </w:tcPr>
          <w:p>
            <w:pPr>
              <w:widowControl/>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3" w:type="dxa"/>
            <w:noWrap w:val="0"/>
            <w:vAlign w:val="center"/>
          </w:tcPr>
          <w:p>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3.2</w:t>
            </w:r>
          </w:p>
        </w:tc>
        <w:tc>
          <w:tcPr>
            <w:tcW w:w="1419" w:type="dxa"/>
            <w:noWrap w:val="0"/>
            <w:vAlign w:val="center"/>
          </w:tcPr>
          <w:p>
            <w:pPr>
              <w:pStyle w:val="18"/>
              <w:autoSpaceDE/>
              <w:autoSpaceDN/>
              <w:snapToGrid w:val="0"/>
              <w:spacing w:line="360" w:lineRule="auto"/>
              <w:jc w:val="center"/>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（2）培训师资力量</w:t>
            </w:r>
          </w:p>
          <w:p>
            <w:pPr>
              <w:pStyle w:val="18"/>
              <w:autoSpaceDE/>
              <w:autoSpaceDN/>
              <w:snapToGrid w:val="0"/>
              <w:spacing w:line="360" w:lineRule="auto"/>
              <w:jc w:val="center"/>
              <w:rPr>
                <w:rFonts w:hint="eastAsia" w:ascii="仿宋_GB2312" w:hAnsi="仿宋_GB2312" w:eastAsia="仿宋_GB2312" w:cs="仿宋_GB2312"/>
                <w:bCs/>
                <w:sz w:val="28"/>
                <w:szCs w:val="28"/>
              </w:rPr>
            </w:pPr>
            <w:r>
              <w:rPr>
                <w:rFonts w:hint="eastAsia" w:ascii="仿宋_GB2312" w:hAnsi="仿宋_GB2312" w:eastAsia="仿宋_GB2312" w:cs="仿宋_GB2312"/>
                <w:color w:val="auto"/>
                <w:kern w:val="2"/>
                <w:sz w:val="28"/>
                <w:szCs w:val="28"/>
              </w:rPr>
              <w:t>（6）</w:t>
            </w:r>
          </w:p>
        </w:tc>
        <w:tc>
          <w:tcPr>
            <w:tcW w:w="6288" w:type="dxa"/>
            <w:noWrap w:val="0"/>
            <w:vAlign w:val="center"/>
          </w:tcPr>
          <w:p>
            <w:pPr>
              <w:pStyle w:val="18"/>
              <w:autoSpaceDE/>
              <w:autoSpaceDN/>
              <w:snapToGrid w:val="0"/>
              <w:spacing w:line="360" w:lineRule="auto"/>
              <w:rPr>
                <w:rFonts w:hint="eastAsia" w:ascii="仿宋_GB2312" w:hAnsi="仿宋_GB2312" w:eastAsia="仿宋_GB2312" w:cs="仿宋_GB2312"/>
                <w:bCs/>
                <w:sz w:val="28"/>
                <w:szCs w:val="28"/>
              </w:rPr>
            </w:pPr>
            <w:r>
              <w:rPr>
                <w:rFonts w:hint="eastAsia" w:ascii="仿宋_GB2312" w:hAnsi="仿宋_GB2312" w:eastAsia="仿宋_GB2312" w:cs="仿宋_GB2312"/>
                <w:color w:val="auto"/>
                <w:sz w:val="28"/>
                <w:szCs w:val="28"/>
              </w:rPr>
              <w:t>竞标人或提供服务的企业提供的培训服务人员中具有高级物流师证书、1+X快递运营职业技能等级证书培训师资质的，每提供1类人员得3分，共6分。</w:t>
            </w:r>
          </w:p>
        </w:tc>
        <w:tc>
          <w:tcPr>
            <w:tcW w:w="851" w:type="dxa"/>
            <w:noWrap w:val="0"/>
            <w:vAlign w:val="center"/>
          </w:tcPr>
          <w:p>
            <w:pPr>
              <w:widowControl/>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3" w:type="dxa"/>
            <w:noWrap w:val="0"/>
            <w:vAlign w:val="center"/>
          </w:tcPr>
          <w:p>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3.3</w:t>
            </w:r>
          </w:p>
        </w:tc>
        <w:tc>
          <w:tcPr>
            <w:tcW w:w="1419" w:type="dxa"/>
            <w:noWrap w:val="0"/>
            <w:vAlign w:val="center"/>
          </w:tcPr>
          <w:p>
            <w:pPr>
              <w:adjustRightInd w:val="0"/>
              <w:snapToGrid w:val="0"/>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（3）类似</w:t>
            </w:r>
            <w:r>
              <w:rPr>
                <w:sz w:val="28"/>
              </w:rPr>
              <mc:AlternateContent>
                <mc:Choice Requires="wps">
                  <w:drawing>
                    <wp:anchor distT="0" distB="0" distL="114300" distR="114300" simplePos="0" relativeHeight="251659264" behindDoc="0" locked="0" layoutInCell="1" hidden="1" allowOverlap="1">
                      <wp:simplePos x="0" y="0"/>
                      <wp:positionH relativeFrom="column">
                        <wp:posOffset>-1428115</wp:posOffset>
                      </wp:positionH>
                      <wp:positionV relativeFrom="paragraph">
                        <wp:posOffset>-793750</wp:posOffset>
                      </wp:positionV>
                      <wp:extent cx="63500" cy="63500"/>
                      <wp:effectExtent l="0" t="0" r="0" b="0"/>
                      <wp:wrapNone/>
                      <wp:docPr id="1" name="矩形 1" descr="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style="position:absolute;left:0pt;margin-left:-112.45pt;margin-top:-62.5pt;height:5pt;width:5pt;visibility:hidden;z-index:251659264;mso-width-relative:page;mso-height-relative:page;" fillcolor="#FFFFFF" filled="t" stroked="t" coordsize="21600,21600" o:gfxdata="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">
                      <v:path/>
                      <v:fill on="t" focussize="0,0"/>
                      <v:stroke/>
                      <v:imagedata o:title=""/>
                      <o:lock v:ext="edit" aspectratio="f"/>
                    </v:rect>
                  </w:pict>
                </mc:Fallback>
              </mc:AlternateContent>
            </w:r>
            <w:r>
              <w:rPr>
                <w:rFonts w:hint="eastAsia" w:ascii="仿宋_GB2312" w:hAnsi="仿宋_GB2312" w:eastAsia="仿宋_GB2312" w:cs="仿宋_GB2312"/>
                <w:kern w:val="0"/>
                <w:sz w:val="28"/>
                <w:szCs w:val="28"/>
              </w:rPr>
              <w:t>业绩</w:t>
            </w:r>
          </w:p>
          <w:p>
            <w:pPr>
              <w:adjustRightInd w:val="0"/>
              <w:snapToGrid w:val="0"/>
              <w:spacing w:line="360" w:lineRule="auto"/>
              <w:jc w:val="center"/>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（6）</w:t>
            </w:r>
          </w:p>
        </w:tc>
        <w:tc>
          <w:tcPr>
            <w:tcW w:w="6288" w:type="dxa"/>
            <w:noWrap w:val="0"/>
            <w:vAlign w:val="center"/>
          </w:tcPr>
          <w:p>
            <w:pPr>
              <w:pStyle w:val="18"/>
              <w:autoSpaceDE/>
              <w:autoSpaceDN/>
              <w:snapToGrid w:val="0"/>
              <w:spacing w:line="360" w:lineRule="auto"/>
              <w:rPr>
                <w:rFonts w:hint="eastAsia" w:ascii="仿宋_GB2312" w:hAnsi="仿宋_GB2312" w:eastAsia="仿宋_GB2312" w:cs="仿宋_GB2312"/>
                <w:bCs/>
                <w:sz w:val="28"/>
                <w:szCs w:val="28"/>
              </w:rPr>
            </w:pPr>
            <w:r>
              <w:rPr>
                <w:rFonts w:hint="eastAsia" w:ascii="仿宋_GB2312" w:hAnsi="仿宋_GB2312" w:eastAsia="仿宋_GB2312" w:cs="仿宋_GB2312"/>
                <w:color w:val="auto"/>
                <w:sz w:val="28"/>
                <w:szCs w:val="28"/>
              </w:rPr>
              <w:t>竞标人或提供服务的企业2018年至今有过类似的师资培训服务或教学课程资源开发项目业绩的（提供合同），每提供一份得2分，满分6分。</w:t>
            </w:r>
          </w:p>
        </w:tc>
        <w:tc>
          <w:tcPr>
            <w:tcW w:w="851" w:type="dxa"/>
            <w:noWrap w:val="0"/>
            <w:vAlign w:val="center"/>
          </w:tcPr>
          <w:p>
            <w:pPr>
              <w:widowControl/>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0" w:type="dxa"/>
            <w:gridSpan w:val="3"/>
            <w:noWrap w:val="0"/>
            <w:vAlign w:val="top"/>
          </w:tcPr>
          <w:p>
            <w:pPr>
              <w:pStyle w:val="5"/>
              <w:spacing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总得分＝1＋2＋3</w:t>
            </w:r>
          </w:p>
        </w:tc>
        <w:tc>
          <w:tcPr>
            <w:tcW w:w="851" w:type="dxa"/>
            <w:noWrap w:val="0"/>
            <w:vAlign w:val="center"/>
          </w:tcPr>
          <w:p>
            <w:pPr>
              <w:widowControl/>
              <w:spacing w:line="400" w:lineRule="exact"/>
              <w:jc w:val="center"/>
              <w:rPr>
                <w:rFonts w:hint="eastAsia" w:ascii="仿宋_GB2312" w:hAnsi="仿宋_GB2312" w:eastAsia="仿宋_GB2312" w:cs="仿宋_GB2312"/>
                <w:kern w:val="0"/>
                <w:sz w:val="28"/>
                <w:szCs w:val="28"/>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zYmFmNmRhYjFiYWJkMjc3ZjU1YjI4NTVhYmFhNjMifQ=="/>
  </w:docVars>
  <w:rsids>
    <w:rsidRoot w:val="00895C64"/>
    <w:rsid w:val="00012A6E"/>
    <w:rsid w:val="000B141A"/>
    <w:rsid w:val="000C687A"/>
    <w:rsid w:val="000F31A2"/>
    <w:rsid w:val="001C3C29"/>
    <w:rsid w:val="001E538C"/>
    <w:rsid w:val="001F1778"/>
    <w:rsid w:val="002019D9"/>
    <w:rsid w:val="00411806"/>
    <w:rsid w:val="005F5F4F"/>
    <w:rsid w:val="006201C2"/>
    <w:rsid w:val="00627751"/>
    <w:rsid w:val="006D05F4"/>
    <w:rsid w:val="00715FC5"/>
    <w:rsid w:val="00787818"/>
    <w:rsid w:val="007C0390"/>
    <w:rsid w:val="00895C64"/>
    <w:rsid w:val="008B3AC4"/>
    <w:rsid w:val="00927A98"/>
    <w:rsid w:val="00943A7B"/>
    <w:rsid w:val="00AE7117"/>
    <w:rsid w:val="00BF2D4A"/>
    <w:rsid w:val="00C05FD2"/>
    <w:rsid w:val="00C60D68"/>
    <w:rsid w:val="00D062C7"/>
    <w:rsid w:val="00D811CC"/>
    <w:rsid w:val="00EC4648"/>
    <w:rsid w:val="00F21381"/>
    <w:rsid w:val="00F64DFD"/>
    <w:rsid w:val="00FD5DC5"/>
    <w:rsid w:val="00FE1097"/>
    <w:rsid w:val="7A1B4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3"/>
    <w:unhideWhenUsed/>
    <w:qFormat/>
    <w:uiPriority w:val="99"/>
    <w:pPr>
      <w:ind w:firstLine="420" w:firstLineChars="100"/>
    </w:pPr>
  </w:style>
  <w:style w:type="paragraph" w:styleId="3">
    <w:name w:val="Body Text"/>
    <w:basedOn w:val="1"/>
    <w:next w:val="1"/>
    <w:qFormat/>
    <w:uiPriority w:val="0"/>
    <w:pPr>
      <w:spacing w:afterLines="0" w:afterAutospacing="0"/>
    </w:pPr>
    <w:rPr>
      <w:rFonts w:ascii="Times New Roman" w:hAnsi="Times New Roman" w:eastAsia="宋体"/>
      <w:sz w:val="24"/>
      <w:szCs w:val="24"/>
    </w:rPr>
  </w:style>
  <w:style w:type="paragraph" w:styleId="4">
    <w:name w:val="Body Text Indent"/>
    <w:basedOn w:val="1"/>
    <w:link w:val="16"/>
    <w:semiHidden/>
    <w:unhideWhenUsed/>
    <w:uiPriority w:val="99"/>
    <w:pPr>
      <w:spacing w:after="120"/>
      <w:ind w:left="420" w:leftChars="200"/>
    </w:pPr>
  </w:style>
  <w:style w:type="paragraph" w:styleId="5">
    <w:name w:val="Plain Text"/>
    <w:basedOn w:val="1"/>
    <w:link w:val="15"/>
    <w:qFormat/>
    <w:uiPriority w:val="0"/>
    <w:rPr>
      <w:rFonts w:ascii="宋体" w:hAnsi="Courier New"/>
      <w:kern w:val="0"/>
      <w:sz w:val="20"/>
      <w:szCs w:val="21"/>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unhideWhenUsed/>
    <w:qFormat/>
    <w:uiPriority w:val="39"/>
  </w:style>
  <w:style w:type="paragraph" w:styleId="9">
    <w:name w:val="Body Text First Indent 2"/>
    <w:basedOn w:val="4"/>
    <w:link w:val="17"/>
    <w:semiHidden/>
    <w:unhideWhenUsed/>
    <w:qFormat/>
    <w:uiPriority w:val="99"/>
    <w:pPr>
      <w:ind w:firstLine="420" w:firstLineChars="200"/>
    </w:pPr>
  </w:style>
  <w:style w:type="character" w:customStyle="1" w:styleId="12">
    <w:name w:val="页眉 Char"/>
    <w:basedOn w:val="11"/>
    <w:link w:val="7"/>
    <w:uiPriority w:val="99"/>
    <w:rPr>
      <w:sz w:val="18"/>
      <w:szCs w:val="18"/>
    </w:rPr>
  </w:style>
  <w:style w:type="character" w:customStyle="1" w:styleId="13">
    <w:name w:val="页脚 Char"/>
    <w:basedOn w:val="11"/>
    <w:link w:val="6"/>
    <w:qFormat/>
    <w:uiPriority w:val="99"/>
    <w:rPr>
      <w:sz w:val="18"/>
      <w:szCs w:val="18"/>
    </w:rPr>
  </w:style>
  <w:style w:type="character" w:customStyle="1" w:styleId="14">
    <w:name w:val="纯文本 Char"/>
    <w:basedOn w:val="11"/>
    <w:semiHidden/>
    <w:qFormat/>
    <w:uiPriority w:val="99"/>
    <w:rPr>
      <w:rFonts w:ascii="宋体" w:hAnsi="Courier New" w:eastAsia="宋体" w:cs="Courier New"/>
      <w:szCs w:val="21"/>
    </w:rPr>
  </w:style>
  <w:style w:type="character" w:customStyle="1" w:styleId="15">
    <w:name w:val="纯文本 Char1"/>
    <w:link w:val="5"/>
    <w:qFormat/>
    <w:uiPriority w:val="0"/>
    <w:rPr>
      <w:rFonts w:ascii="宋体" w:hAnsi="Courier New" w:eastAsia="宋体" w:cs="Times New Roman"/>
      <w:kern w:val="0"/>
      <w:sz w:val="20"/>
      <w:szCs w:val="21"/>
    </w:rPr>
  </w:style>
  <w:style w:type="character" w:customStyle="1" w:styleId="16">
    <w:name w:val="正文文本缩进 Char"/>
    <w:basedOn w:val="11"/>
    <w:link w:val="4"/>
    <w:semiHidden/>
    <w:qFormat/>
    <w:uiPriority w:val="99"/>
    <w:rPr>
      <w:rFonts w:ascii="Times New Roman" w:hAnsi="Times New Roman" w:eastAsia="宋体" w:cs="Times New Roman"/>
      <w:szCs w:val="24"/>
    </w:rPr>
  </w:style>
  <w:style w:type="character" w:customStyle="1" w:styleId="17">
    <w:name w:val="正文首行缩进 2 Char"/>
    <w:basedOn w:val="16"/>
    <w:link w:val="9"/>
    <w:semiHidden/>
    <w:qFormat/>
    <w:uiPriority w:val="99"/>
    <w:rPr>
      <w:rFonts w:ascii="Times New Roman" w:hAnsi="Times New Roman" w:eastAsia="宋体" w:cs="Times New Roman"/>
      <w:szCs w:val="24"/>
    </w:rPr>
  </w:style>
  <w:style w:type="paragraph" w:customStyle="1" w:styleId="18">
    <w:name w:val="Default Tex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413</Words>
  <Characters>2356</Characters>
  <Lines>19</Lines>
  <Paragraphs>5</Paragraphs>
  <TotalTime>0</TotalTime>
  <ScaleCrop>false</ScaleCrop>
  <LinksUpToDate>false</LinksUpToDate>
  <CharactersWithSpaces>2764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2023-07-14T08:19:00Z</dcterms:created>
  <dc:creator>lenovo</dc:creator>
  <cp:lastModifiedBy>人世繁华你所拥有的</cp:lastModifiedBy>
  <dcterms:modified xsi:type="dcterms:W3CDTF">2023-10-18T08:23:48Z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CBD2055EFA0E419DBB21CBA057E79324_13</vt:lpwstr>
  </property>
</Properties>
</file>